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1E32D" w14:textId="51A2EA83" w:rsidR="00305285" w:rsidRDefault="007F7054">
      <w:pPr>
        <w:spacing w:after="40"/>
      </w:pPr>
      <w:r>
        <w:rPr>
          <w:rFonts w:ascii="Arial" w:eastAsia="Arial" w:hAnsi="Arial" w:cs="Arial"/>
          <w:b/>
          <w:bCs/>
          <w:color w:val="1B2A4A"/>
          <w:sz w:val="30"/>
          <w:szCs w:val="30"/>
        </w:rPr>
        <w:t>/</w:t>
      </w:r>
      <w:r w:rsidR="00000000">
        <w:rPr>
          <w:rFonts w:ascii="Arial" w:eastAsia="Arial" w:hAnsi="Arial" w:cs="Arial"/>
          <w:b/>
          <w:bCs/>
          <w:color w:val="1B2A4A"/>
          <w:sz w:val="30"/>
          <w:szCs w:val="30"/>
        </w:rPr>
        <w:t>APEX STRATEGIC INTELLIGENCE</w:t>
      </w:r>
    </w:p>
    <w:p w14:paraId="24A50B5E" w14:textId="77777777" w:rsidR="00305285" w:rsidRDefault="00000000">
      <w:pPr>
        <w:spacing w:after="20"/>
      </w:pPr>
      <w:r>
        <w:rPr>
          <w:rFonts w:ascii="Arial" w:eastAsia="Arial" w:hAnsi="Arial" w:cs="Arial"/>
          <w:b/>
          <w:bCs/>
          <w:color w:val="2E5FA3"/>
          <w:sz w:val="17"/>
          <w:szCs w:val="17"/>
        </w:rPr>
        <w:t>Founder: Michael A. McDonnell   |   Prosper, Texas   ·   214-663-6222   ·   mamcdonnell@verizon.net</w:t>
      </w:r>
    </w:p>
    <w:p w14:paraId="6AB1DCB4" w14:textId="77777777" w:rsidR="00305285" w:rsidRDefault="00000000">
      <w:pPr>
        <w:spacing w:after="200"/>
      </w:pPr>
      <w:r>
        <w:rPr>
          <w:rFonts w:ascii="Arial" w:eastAsia="Arial" w:hAnsi="Arial" w:cs="Arial"/>
          <w:b/>
          <w:bCs/>
          <w:color w:val="2E5FA3"/>
          <w:sz w:val="17"/>
          <w:szCs w:val="17"/>
        </w:rPr>
        <w:t>michael@apexstrategicintelligence.io</w:t>
      </w:r>
    </w:p>
    <w:p w14:paraId="446CD123" w14:textId="77777777" w:rsidR="00305285" w:rsidRDefault="00000000">
      <w:pPr>
        <w:spacing w:after="200"/>
      </w:pPr>
      <w:r>
        <w:rPr>
          <w:b/>
          <w:bCs/>
          <w:i/>
          <w:iCs/>
          <w:color w:val="1B2A4A"/>
          <w:sz w:val="19"/>
          <w:szCs w:val="19"/>
        </w:rPr>
        <w:t>The intellectual property layer beneath sovereign AI — architected once, delivered everywhere by the partners who already own the client relationship.</w:t>
      </w:r>
    </w:p>
    <w:p w14:paraId="1DA00D33" w14:textId="77777777" w:rsidR="00305285" w:rsidRDefault="00000000">
      <w:pPr>
        <w:spacing w:after="60"/>
      </w:pPr>
      <w:r>
        <w:rPr>
          <w:rFonts w:ascii="Arial" w:eastAsia="Arial" w:hAnsi="Arial" w:cs="Arial"/>
          <w:b/>
          <w:bCs/>
          <w:caps/>
          <w:color w:val="C9A84C"/>
          <w:sz w:val="18"/>
          <w:szCs w:val="18"/>
        </w:rPr>
        <w:t>A FRAMEWORK WHITE PAPER</w:t>
      </w:r>
    </w:p>
    <w:p w14:paraId="20271D12" w14:textId="77777777" w:rsidR="00305285" w:rsidRDefault="00000000">
      <w:pPr>
        <w:spacing w:after="200"/>
      </w:pPr>
      <w:r>
        <w:rPr>
          <w:rFonts w:ascii="Arial" w:eastAsia="Arial" w:hAnsi="Arial" w:cs="Arial"/>
          <w:b/>
          <w:bCs/>
          <w:color w:val="1B2A4A"/>
          <w:sz w:val="30"/>
          <w:szCs w:val="30"/>
        </w:rPr>
        <w:t>Composable Distillation Intelligence: The Platform, the Methodology, and the Partnership</w:t>
      </w:r>
    </w:p>
    <w:tbl>
      <w:tblPr>
        <w:tblW w:w="9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216"/>
      </w:tblGrid>
      <w:tr w:rsidR="00305285" w14:paraId="1F0AC944" w14:textId="77777777">
        <w:tc>
          <w:tcPr>
            <w:tcW w:w="9216" w:type="dxa"/>
            <w:shd w:val="clear" w:color="auto" w:fill="EEF2F8"/>
            <w:tcMar>
              <w:top w:w="180" w:type="dxa"/>
              <w:left w:w="220" w:type="dxa"/>
              <w:bottom w:w="180" w:type="dxa"/>
              <w:right w:w="220" w:type="dxa"/>
            </w:tcMar>
          </w:tcPr>
          <w:p w14:paraId="1792F037" w14:textId="77777777" w:rsidR="00305285" w:rsidRDefault="00000000">
            <w:pPr>
              <w:spacing w:after="60"/>
            </w:pPr>
            <w:r>
              <w:rPr>
                <w:rFonts w:ascii="Arial" w:eastAsia="Arial" w:hAnsi="Arial" w:cs="Arial"/>
                <w:b/>
                <w:bCs/>
                <w:caps/>
                <w:color w:val="2E5FA3"/>
                <w:sz w:val="16"/>
                <w:szCs w:val="16"/>
              </w:rPr>
              <w:t>ABSTRACT</w:t>
            </w:r>
          </w:p>
          <w:p w14:paraId="7B163C0D" w14:textId="77777777" w:rsidR="00305285" w:rsidRDefault="00000000">
            <w:pPr>
              <w:spacing w:line="264" w:lineRule="auto"/>
            </w:pPr>
            <w:r>
              <w:rPr>
                <w:i/>
                <w:iCs/>
                <w:color w:val="333333"/>
                <w:sz w:val="19"/>
                <w:szCs w:val="19"/>
              </w:rPr>
              <w:t>This paper presents Composable Distillation Intelligence (CDI™) — Apex Strategic Intelligence's framework for converting frontier AI into secure, verticalized, sovereign solutions that MSPs, cloud providers, and systems integrators can deploy and support at scale. It sets out the economic case for engineering efficiency rather than chasing cost cuts, the CDI architecture and client methodology behind that case, the market opportunity across the SMB economy, and the partnership model through which ecosystem partners bring Apex-powered AI to the clients they already serve.</w:t>
            </w:r>
          </w:p>
        </w:tc>
      </w:tr>
    </w:tbl>
    <w:p w14:paraId="7BD809FE" w14:textId="77777777" w:rsidR="00305285" w:rsidRDefault="00305285">
      <w:pPr>
        <w:spacing w:after="120"/>
      </w:pPr>
    </w:p>
    <w:p w14:paraId="2A0462BD" w14:textId="77777777" w:rsidR="00305285" w:rsidRDefault="00000000">
      <w:pPr>
        <w:pBdr>
          <w:bottom w:val="single" w:sz="6" w:space="4" w:color="C9A84C"/>
        </w:pBdr>
        <w:spacing w:before="260" w:after="100"/>
      </w:pPr>
      <w:r>
        <w:rPr>
          <w:rFonts w:ascii="Arial" w:eastAsia="Arial" w:hAnsi="Arial" w:cs="Arial"/>
          <w:b/>
          <w:bCs/>
          <w:color w:val="1B2A4A"/>
          <w:sz w:val="24"/>
          <w:szCs w:val="24"/>
        </w:rPr>
        <w:t>1. Positioning</w:t>
      </w:r>
    </w:p>
    <w:p w14:paraId="054CC41B" w14:textId="77777777" w:rsidR="00305285" w:rsidRDefault="00000000">
      <w:pPr>
        <w:spacing w:after="140" w:line="276" w:lineRule="auto"/>
      </w:pPr>
      <w:r>
        <w:rPr>
          <w:color w:val="222222"/>
        </w:rPr>
        <w:t>Apex Strategic Intelligence accelerates AI adoption across the SMB economy through a Composable Distillation AI architecture that transforms frontier-model intelligence into secure, modular, industry-specific solutions — delivered not directly, but through a trusted ecosystem of MSPs, cloud providers, and strategic implementation partners.</w:t>
      </w:r>
    </w:p>
    <w:p w14:paraId="6D0BF24F" w14:textId="119018CE" w:rsidR="00305285" w:rsidRDefault="00000000">
      <w:pPr>
        <w:spacing w:after="140" w:line="276" w:lineRule="auto"/>
      </w:pPr>
      <w:r>
        <w:rPr>
          <w:color w:val="222222"/>
        </w:rPr>
        <w:t>Nearly every company in this market is trying to build models, deploy infrastructure, or sell consulting hours. Apex does none of those things. Apex takes an emerging AI paradigm — sovereign, verticalized small language models (</w:t>
      </w:r>
      <w:r w:rsidR="009C7CAD">
        <w:rPr>
          <w:color w:val="222222"/>
        </w:rPr>
        <w:t>SLMs)</w:t>
      </w:r>
      <w:r>
        <w:rPr>
          <w:color w:val="222222"/>
        </w:rPr>
        <w:t xml:space="preserve"> and turns it into a repeatable commercial solution that partners can deliver at scale. Composable Distillation Intelligence (CDI™) is the engine behind that solution, not the product itself: the product is always the business outcome the partner's client is buying.</w:t>
      </w:r>
    </w:p>
    <w:p w14:paraId="7E5BAADE" w14:textId="77777777" w:rsidR="00305285" w:rsidRDefault="00000000">
      <w:pPr>
        <w:spacing w:after="140" w:line="276" w:lineRule="auto"/>
      </w:pPr>
      <w:r>
        <w:rPr>
          <w:color w:val="222222"/>
        </w:rPr>
        <w:t>The underlying thesis is broader than any single deployment: AI is not the destination — it is the milestone that unlocks the next era of human capital deployment. Apex doesn't sell AI. It sells capability, clarity, and competitive advantage, delivered through a structured methodology, proprietary assessments, and a sovereign AI platform that modernizes processes, automates intelligence workflows, and expands operational and commercial capability.</w:t>
      </w:r>
    </w:p>
    <w:p w14:paraId="1DB715B0" w14:textId="77777777" w:rsidR="00305285" w:rsidRDefault="00000000">
      <w:pPr>
        <w:pBdr>
          <w:bottom w:val="single" w:sz="6" w:space="4" w:color="C9A84C"/>
        </w:pBdr>
        <w:spacing w:before="260" w:after="100"/>
      </w:pPr>
      <w:r>
        <w:rPr>
          <w:rFonts w:ascii="Arial" w:eastAsia="Arial" w:hAnsi="Arial" w:cs="Arial"/>
          <w:b/>
          <w:bCs/>
          <w:color w:val="1B2A4A"/>
          <w:sz w:val="24"/>
          <w:szCs w:val="24"/>
        </w:rPr>
        <w:t>2. Why Efficiency, Not Cost-Cutting</w:t>
      </w:r>
    </w:p>
    <w:p w14:paraId="13C7D157" w14:textId="77777777" w:rsidR="00305285" w:rsidRDefault="00000000">
      <w:pPr>
        <w:spacing w:after="140" w:line="276" w:lineRule="auto"/>
      </w:pPr>
      <w:r>
        <w:rPr>
          <w:color w:val="222222"/>
        </w:rPr>
        <w:t>Every SMB feels the same constraint: cost reduction has been the only margin lever available to it, and cost reduction is a short-term one — episodic, reactive, and prone to shrinking the very capability the business needs to grow. Efficiency is different. Engineered deliberately, it is continuous, compounding, and capability-expanding — the same operating logic that turns continuous improvement and disciplined reinvestment into durable, compounding advantage at larger companies. Sovereign SLM AI is what finally makes that logic accessible to a business that has never had a data-science team.</w:t>
      </w:r>
    </w:p>
    <w:tbl>
      <w:tblPr>
        <w:tblW w:w="9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08"/>
        <w:gridCol w:w="4608"/>
      </w:tblGrid>
      <w:tr w:rsidR="00305285" w14:paraId="62758003" w14:textId="77777777">
        <w:trPr>
          <w:tblHeader/>
        </w:trPr>
        <w:tc>
          <w:tcPr>
            <w:tcW w:w="4608" w:type="dxa"/>
            <w:shd w:val="clear" w:color="auto" w:fill="1B2A4A"/>
            <w:tcMar>
              <w:top w:w="100" w:type="dxa"/>
              <w:left w:w="120" w:type="dxa"/>
              <w:bottom w:w="100" w:type="dxa"/>
              <w:right w:w="120" w:type="dxa"/>
            </w:tcMar>
          </w:tcPr>
          <w:p w14:paraId="73B6A642" w14:textId="77777777" w:rsidR="00305285" w:rsidRDefault="00000000">
            <w:r>
              <w:rPr>
                <w:rFonts w:ascii="Arial" w:eastAsia="Arial" w:hAnsi="Arial" w:cs="Arial"/>
                <w:b/>
                <w:bCs/>
                <w:color w:val="FFFFFF"/>
                <w:sz w:val="18"/>
                <w:szCs w:val="18"/>
              </w:rPr>
              <w:t>Cost Reduction</w:t>
            </w:r>
          </w:p>
        </w:tc>
        <w:tc>
          <w:tcPr>
            <w:tcW w:w="4608" w:type="dxa"/>
            <w:shd w:val="clear" w:color="auto" w:fill="1B2A4A"/>
            <w:tcMar>
              <w:top w:w="100" w:type="dxa"/>
              <w:left w:w="120" w:type="dxa"/>
              <w:bottom w:w="100" w:type="dxa"/>
              <w:right w:w="120" w:type="dxa"/>
            </w:tcMar>
          </w:tcPr>
          <w:p w14:paraId="41151FE6" w14:textId="77777777" w:rsidR="00305285" w:rsidRDefault="00000000">
            <w:r>
              <w:rPr>
                <w:rFonts w:ascii="Arial" w:eastAsia="Arial" w:hAnsi="Arial" w:cs="Arial"/>
                <w:b/>
                <w:bCs/>
                <w:color w:val="FFFFFF"/>
                <w:sz w:val="18"/>
                <w:szCs w:val="18"/>
              </w:rPr>
              <w:t>Efficiency Expansion</w:t>
            </w:r>
          </w:p>
        </w:tc>
      </w:tr>
      <w:tr w:rsidR="00305285" w14:paraId="2891D26C" w14:textId="77777777">
        <w:tc>
          <w:tcPr>
            <w:tcW w:w="4608" w:type="dxa"/>
            <w:shd w:val="clear" w:color="auto" w:fill="F5EFDD"/>
            <w:tcMar>
              <w:top w:w="100" w:type="dxa"/>
              <w:left w:w="120" w:type="dxa"/>
              <w:bottom w:w="100" w:type="dxa"/>
              <w:right w:w="120" w:type="dxa"/>
            </w:tcMar>
          </w:tcPr>
          <w:p w14:paraId="50BCDB8A" w14:textId="77777777" w:rsidR="00305285" w:rsidRDefault="00000000">
            <w:r>
              <w:rPr>
                <w:color w:val="222222"/>
                <w:sz w:val="18"/>
                <w:szCs w:val="18"/>
              </w:rPr>
              <w:t>Episodic</w:t>
            </w:r>
          </w:p>
        </w:tc>
        <w:tc>
          <w:tcPr>
            <w:tcW w:w="4608" w:type="dxa"/>
            <w:shd w:val="clear" w:color="auto" w:fill="EEF2F8"/>
            <w:tcMar>
              <w:top w:w="100" w:type="dxa"/>
              <w:left w:w="120" w:type="dxa"/>
              <w:bottom w:w="100" w:type="dxa"/>
              <w:right w:w="120" w:type="dxa"/>
            </w:tcMar>
          </w:tcPr>
          <w:p w14:paraId="783F1EE9" w14:textId="77777777" w:rsidR="00305285" w:rsidRDefault="00000000">
            <w:r>
              <w:rPr>
                <w:color w:val="222222"/>
                <w:sz w:val="18"/>
                <w:szCs w:val="18"/>
              </w:rPr>
              <w:t>Continuous</w:t>
            </w:r>
          </w:p>
        </w:tc>
      </w:tr>
      <w:tr w:rsidR="00305285" w14:paraId="204D6C40" w14:textId="77777777">
        <w:tc>
          <w:tcPr>
            <w:tcW w:w="4608" w:type="dxa"/>
            <w:shd w:val="clear" w:color="auto" w:fill="F5EFDD"/>
            <w:tcMar>
              <w:top w:w="100" w:type="dxa"/>
              <w:left w:w="120" w:type="dxa"/>
              <w:bottom w:w="100" w:type="dxa"/>
              <w:right w:w="120" w:type="dxa"/>
            </w:tcMar>
          </w:tcPr>
          <w:p w14:paraId="7D4243C9" w14:textId="77777777" w:rsidR="00305285" w:rsidRDefault="00000000">
            <w:r>
              <w:rPr>
                <w:color w:val="222222"/>
                <w:sz w:val="18"/>
                <w:szCs w:val="18"/>
              </w:rPr>
              <w:t>Reactive</w:t>
            </w:r>
          </w:p>
        </w:tc>
        <w:tc>
          <w:tcPr>
            <w:tcW w:w="4608" w:type="dxa"/>
            <w:shd w:val="clear" w:color="auto" w:fill="EEF2F8"/>
            <w:tcMar>
              <w:top w:w="100" w:type="dxa"/>
              <w:left w:w="120" w:type="dxa"/>
              <w:bottom w:w="100" w:type="dxa"/>
              <w:right w:w="120" w:type="dxa"/>
            </w:tcMar>
          </w:tcPr>
          <w:p w14:paraId="722F6BF4" w14:textId="77777777" w:rsidR="00305285" w:rsidRDefault="00000000">
            <w:r>
              <w:rPr>
                <w:color w:val="222222"/>
                <w:sz w:val="18"/>
                <w:szCs w:val="18"/>
              </w:rPr>
              <w:t>Proactive</w:t>
            </w:r>
          </w:p>
        </w:tc>
      </w:tr>
      <w:tr w:rsidR="00305285" w14:paraId="16108AFB" w14:textId="77777777">
        <w:tc>
          <w:tcPr>
            <w:tcW w:w="4608" w:type="dxa"/>
            <w:shd w:val="clear" w:color="auto" w:fill="F5EFDD"/>
            <w:tcMar>
              <w:top w:w="100" w:type="dxa"/>
              <w:left w:w="120" w:type="dxa"/>
              <w:bottom w:w="100" w:type="dxa"/>
              <w:right w:w="120" w:type="dxa"/>
            </w:tcMar>
          </w:tcPr>
          <w:p w14:paraId="553E896C" w14:textId="77777777" w:rsidR="00305285" w:rsidRDefault="00000000">
            <w:r>
              <w:rPr>
                <w:color w:val="222222"/>
                <w:sz w:val="18"/>
                <w:szCs w:val="18"/>
              </w:rPr>
              <w:t>Often harmful to capability</w:t>
            </w:r>
          </w:p>
        </w:tc>
        <w:tc>
          <w:tcPr>
            <w:tcW w:w="4608" w:type="dxa"/>
            <w:shd w:val="clear" w:color="auto" w:fill="EEF2F8"/>
            <w:tcMar>
              <w:top w:w="100" w:type="dxa"/>
              <w:left w:w="120" w:type="dxa"/>
              <w:bottom w:w="100" w:type="dxa"/>
              <w:right w:w="120" w:type="dxa"/>
            </w:tcMar>
          </w:tcPr>
          <w:p w14:paraId="5B2ADA96" w14:textId="77777777" w:rsidR="00305285" w:rsidRDefault="00000000">
            <w:r>
              <w:rPr>
                <w:color w:val="222222"/>
                <w:sz w:val="18"/>
                <w:szCs w:val="18"/>
              </w:rPr>
              <w:t>Compounding</w:t>
            </w:r>
          </w:p>
        </w:tc>
      </w:tr>
      <w:tr w:rsidR="00305285" w14:paraId="2DFCAFD5" w14:textId="77777777">
        <w:tc>
          <w:tcPr>
            <w:tcW w:w="4608" w:type="dxa"/>
            <w:shd w:val="clear" w:color="auto" w:fill="F5EFDD"/>
            <w:tcMar>
              <w:top w:w="100" w:type="dxa"/>
              <w:left w:w="120" w:type="dxa"/>
              <w:bottom w:w="100" w:type="dxa"/>
              <w:right w:w="120" w:type="dxa"/>
            </w:tcMar>
          </w:tcPr>
          <w:p w14:paraId="13B07489" w14:textId="77777777" w:rsidR="00305285" w:rsidRDefault="00000000">
            <w:r>
              <w:rPr>
                <w:color w:val="222222"/>
                <w:sz w:val="18"/>
                <w:szCs w:val="18"/>
              </w:rPr>
              <w:t>Short-term</w:t>
            </w:r>
          </w:p>
        </w:tc>
        <w:tc>
          <w:tcPr>
            <w:tcW w:w="4608" w:type="dxa"/>
            <w:shd w:val="clear" w:color="auto" w:fill="EEF2F8"/>
            <w:tcMar>
              <w:top w:w="100" w:type="dxa"/>
              <w:left w:w="120" w:type="dxa"/>
              <w:bottom w:w="100" w:type="dxa"/>
              <w:right w:w="120" w:type="dxa"/>
            </w:tcMar>
          </w:tcPr>
          <w:p w14:paraId="73736BD5" w14:textId="77777777" w:rsidR="00305285" w:rsidRDefault="00000000">
            <w:r>
              <w:rPr>
                <w:color w:val="222222"/>
                <w:sz w:val="18"/>
                <w:szCs w:val="18"/>
              </w:rPr>
              <w:t>Long-term</w:t>
            </w:r>
          </w:p>
        </w:tc>
      </w:tr>
      <w:tr w:rsidR="00305285" w14:paraId="725193E7" w14:textId="77777777">
        <w:tc>
          <w:tcPr>
            <w:tcW w:w="4608" w:type="dxa"/>
            <w:shd w:val="clear" w:color="auto" w:fill="F5EFDD"/>
            <w:tcMar>
              <w:top w:w="100" w:type="dxa"/>
              <w:left w:w="120" w:type="dxa"/>
              <w:bottom w:w="100" w:type="dxa"/>
              <w:right w:w="120" w:type="dxa"/>
            </w:tcMar>
          </w:tcPr>
          <w:p w14:paraId="51F2561F" w14:textId="77777777" w:rsidR="00305285" w:rsidRDefault="00000000">
            <w:r>
              <w:rPr>
                <w:color w:val="222222"/>
                <w:sz w:val="18"/>
                <w:szCs w:val="18"/>
              </w:rPr>
              <w:lastRenderedPageBreak/>
              <w:t>Shrinks capability</w:t>
            </w:r>
          </w:p>
        </w:tc>
        <w:tc>
          <w:tcPr>
            <w:tcW w:w="4608" w:type="dxa"/>
            <w:shd w:val="clear" w:color="auto" w:fill="EEF2F8"/>
            <w:tcMar>
              <w:top w:w="100" w:type="dxa"/>
              <w:left w:w="120" w:type="dxa"/>
              <w:bottom w:w="100" w:type="dxa"/>
              <w:right w:w="120" w:type="dxa"/>
            </w:tcMar>
          </w:tcPr>
          <w:p w14:paraId="58DEB1A3" w14:textId="77777777" w:rsidR="00305285" w:rsidRDefault="00000000">
            <w:r>
              <w:rPr>
                <w:color w:val="222222"/>
                <w:sz w:val="18"/>
                <w:szCs w:val="18"/>
              </w:rPr>
              <w:t>Grows capability</w:t>
            </w:r>
          </w:p>
        </w:tc>
      </w:tr>
    </w:tbl>
    <w:p w14:paraId="3EA3EF04" w14:textId="77777777" w:rsidR="00305285" w:rsidRDefault="00000000">
      <w:pPr>
        <w:spacing w:after="140" w:line="276" w:lineRule="auto"/>
      </w:pPr>
      <w:r>
        <w:rPr>
          <w:color w:val="222222"/>
        </w:rPr>
        <w:t>SMBs don't buy AI features. They buy more output, fewer errors, faster cycles, higher margins, more capacity, and less chaos. Apex's methodology is built to deliver exactly that — and nothing else.</w:t>
      </w:r>
    </w:p>
    <w:p w14:paraId="32154E16" w14:textId="77777777" w:rsidR="00305285" w:rsidRDefault="00000000">
      <w:pPr>
        <w:spacing w:after="140" w:line="276" w:lineRule="auto"/>
      </w:pPr>
      <w:r>
        <w:rPr>
          <w:color w:val="222222"/>
        </w:rPr>
        <w:t>Every engagement is also designed to create optionality: the deliberate creation of future choices without forcing today's commitment. By engineering efficiency rather than chasing cost cuts, sovereign SLM AI builds latent productive capacity that a business can redeploy into new offerings, markets, or operating models without friction — turning curiosity about a client's own data into a measurable expansion of the paths available to them.</w:t>
      </w:r>
    </w:p>
    <w:p w14:paraId="76616F77" w14:textId="77777777" w:rsidR="00305285" w:rsidRDefault="00000000">
      <w:pPr>
        <w:pBdr>
          <w:bottom w:val="single" w:sz="6" w:space="4" w:color="C9A84C"/>
        </w:pBdr>
        <w:spacing w:before="260" w:after="100"/>
      </w:pPr>
      <w:r>
        <w:rPr>
          <w:rFonts w:ascii="Arial" w:eastAsia="Arial" w:hAnsi="Arial" w:cs="Arial"/>
          <w:b/>
          <w:bCs/>
          <w:color w:val="1B2A4A"/>
          <w:sz w:val="24"/>
          <w:szCs w:val="24"/>
        </w:rPr>
        <w:t>3. The Apex CDI™ Framework</w:t>
      </w:r>
    </w:p>
    <w:p w14:paraId="12FE2165" w14:textId="77777777" w:rsidR="00305285" w:rsidRDefault="00000000">
      <w:pPr>
        <w:spacing w:before="200" w:after="80"/>
      </w:pPr>
      <w:r>
        <w:rPr>
          <w:rFonts w:ascii="Arial" w:eastAsia="Arial" w:hAnsi="Arial" w:cs="Arial"/>
          <w:b/>
          <w:bCs/>
          <w:color w:val="1B2A4A"/>
          <w:sz w:val="21"/>
          <w:szCs w:val="21"/>
        </w:rPr>
        <w:t>Composable Distillation Intelligence</w:t>
      </w:r>
    </w:p>
    <w:p w14:paraId="3A53C83A" w14:textId="77777777" w:rsidR="00305285" w:rsidRDefault="00000000">
      <w:pPr>
        <w:spacing w:after="140" w:line="276" w:lineRule="auto"/>
      </w:pPr>
      <w:r>
        <w:rPr>
          <w:color w:val="222222"/>
        </w:rPr>
        <w:t>Rather than building one massive, general-purpose model, Apex distills frontier-model intelligence into reusable, industry-specific modules that combine into a complete platform. An accounting platform, for example, is not a single model — it is a set of composable modules:</w:t>
      </w:r>
    </w:p>
    <w:p w14:paraId="3B353D2D" w14:textId="77777777" w:rsidR="00305285" w:rsidRDefault="00000000">
      <w:pPr>
        <w:pStyle w:val="ListParagraph"/>
        <w:numPr>
          <w:ilvl w:val="0"/>
          <w:numId w:val="2"/>
        </w:numPr>
        <w:spacing w:after="90" w:line="264" w:lineRule="auto"/>
      </w:pPr>
      <w:r>
        <w:rPr>
          <w:color w:val="222222"/>
        </w:rPr>
        <w:t>Tax Module</w:t>
      </w:r>
    </w:p>
    <w:p w14:paraId="0478B49A" w14:textId="77777777" w:rsidR="00305285" w:rsidRDefault="00000000">
      <w:pPr>
        <w:pStyle w:val="ListParagraph"/>
        <w:numPr>
          <w:ilvl w:val="0"/>
          <w:numId w:val="2"/>
        </w:numPr>
        <w:spacing w:after="90" w:line="264" w:lineRule="auto"/>
      </w:pPr>
      <w:r>
        <w:rPr>
          <w:color w:val="222222"/>
        </w:rPr>
        <w:t>Audit Module</w:t>
      </w:r>
    </w:p>
    <w:p w14:paraId="25B535D7" w14:textId="77777777" w:rsidR="00305285" w:rsidRDefault="00000000">
      <w:pPr>
        <w:pStyle w:val="ListParagraph"/>
        <w:numPr>
          <w:ilvl w:val="0"/>
          <w:numId w:val="2"/>
        </w:numPr>
        <w:spacing w:after="90" w:line="264" w:lineRule="auto"/>
      </w:pPr>
      <w:r>
        <w:rPr>
          <w:color w:val="222222"/>
        </w:rPr>
        <w:t>AP Module</w:t>
      </w:r>
    </w:p>
    <w:p w14:paraId="33DF2DEE" w14:textId="77777777" w:rsidR="00305285" w:rsidRDefault="00000000">
      <w:pPr>
        <w:pStyle w:val="ListParagraph"/>
        <w:numPr>
          <w:ilvl w:val="0"/>
          <w:numId w:val="2"/>
        </w:numPr>
        <w:spacing w:after="90" w:line="264" w:lineRule="auto"/>
      </w:pPr>
      <w:r>
        <w:rPr>
          <w:color w:val="222222"/>
        </w:rPr>
        <w:t>AR Module</w:t>
      </w:r>
    </w:p>
    <w:p w14:paraId="13F1DF7A" w14:textId="77777777" w:rsidR="00305285" w:rsidRDefault="00000000">
      <w:pPr>
        <w:pStyle w:val="ListParagraph"/>
        <w:numPr>
          <w:ilvl w:val="0"/>
          <w:numId w:val="2"/>
        </w:numPr>
        <w:spacing w:after="90" w:line="264" w:lineRule="auto"/>
      </w:pPr>
      <w:r>
        <w:rPr>
          <w:color w:val="222222"/>
        </w:rPr>
        <w:t>Payroll Module</w:t>
      </w:r>
    </w:p>
    <w:p w14:paraId="411700E5" w14:textId="77777777" w:rsidR="00305285" w:rsidRDefault="00000000">
      <w:pPr>
        <w:pStyle w:val="ListParagraph"/>
        <w:numPr>
          <w:ilvl w:val="0"/>
          <w:numId w:val="2"/>
        </w:numPr>
        <w:spacing w:after="90" w:line="264" w:lineRule="auto"/>
      </w:pPr>
      <w:r>
        <w:rPr>
          <w:color w:val="222222"/>
        </w:rPr>
        <w:t>Financial Reporting Module</w:t>
      </w:r>
    </w:p>
    <w:p w14:paraId="2A8A2629" w14:textId="77777777" w:rsidR="00305285" w:rsidRDefault="00000000">
      <w:pPr>
        <w:pStyle w:val="ListParagraph"/>
        <w:numPr>
          <w:ilvl w:val="0"/>
          <w:numId w:val="2"/>
        </w:numPr>
        <w:spacing w:after="90" w:line="264" w:lineRule="auto"/>
      </w:pPr>
      <w:r>
        <w:rPr>
          <w:color w:val="222222"/>
        </w:rPr>
        <w:t>Fraud Detection Module</w:t>
      </w:r>
    </w:p>
    <w:p w14:paraId="10E6CBFD" w14:textId="77777777" w:rsidR="00305285" w:rsidRDefault="00000000">
      <w:pPr>
        <w:spacing w:after="140" w:line="276" w:lineRule="auto"/>
      </w:pPr>
      <w:r>
        <w:rPr>
          <w:color w:val="222222"/>
        </w:rPr>
        <w:t>The same architecture pattern extends to legal, healthcare, and insurance platforms — each built from reusable intelligence modules rather than one monolithic model per industry.</w:t>
      </w:r>
    </w:p>
    <w:p w14:paraId="012C5B44" w14:textId="77777777" w:rsidR="00305285" w:rsidRDefault="00000000">
      <w:pPr>
        <w:pBdr>
          <w:bottom w:val="single" w:sz="6" w:space="4" w:color="C9A84C"/>
        </w:pBdr>
        <w:spacing w:before="260" w:after="100"/>
      </w:pPr>
      <w:r>
        <w:rPr>
          <w:rFonts w:ascii="Arial" w:eastAsia="Arial" w:hAnsi="Arial" w:cs="Arial"/>
          <w:b/>
          <w:bCs/>
          <w:color w:val="1B2A4A"/>
          <w:sz w:val="24"/>
          <w:szCs w:val="24"/>
        </w:rPr>
        <w:t>4. The Apex Methodology</w:t>
      </w:r>
    </w:p>
    <w:p w14:paraId="1DB5F594" w14:textId="77777777" w:rsidR="00305285" w:rsidRDefault="00000000">
      <w:pPr>
        <w:spacing w:after="140" w:line="276" w:lineRule="auto"/>
      </w:pPr>
      <w:r>
        <w:rPr>
          <w:color w:val="222222"/>
        </w:rPr>
        <w:t>How Apex engages a client directly, from operational baseline to ongoing optimization:</w:t>
      </w:r>
    </w:p>
    <w:tbl>
      <w:tblPr>
        <w:tblW w:w="9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80"/>
        <w:gridCol w:w="6336"/>
      </w:tblGrid>
      <w:tr w:rsidR="00305285" w14:paraId="12E42E2D" w14:textId="77777777">
        <w:trPr>
          <w:tblHeader/>
        </w:trPr>
        <w:tc>
          <w:tcPr>
            <w:tcW w:w="2880" w:type="dxa"/>
            <w:shd w:val="clear" w:color="auto" w:fill="1B2A4A"/>
            <w:tcMar>
              <w:top w:w="100" w:type="dxa"/>
              <w:left w:w="120" w:type="dxa"/>
              <w:bottom w:w="100" w:type="dxa"/>
              <w:right w:w="120" w:type="dxa"/>
            </w:tcMar>
          </w:tcPr>
          <w:p w14:paraId="689AF93E" w14:textId="77777777" w:rsidR="00305285" w:rsidRDefault="00000000">
            <w:r>
              <w:rPr>
                <w:rFonts w:ascii="Arial" w:eastAsia="Arial" w:hAnsi="Arial" w:cs="Arial"/>
                <w:b/>
                <w:bCs/>
                <w:color w:val="FFFFFF"/>
                <w:sz w:val="18"/>
                <w:szCs w:val="18"/>
              </w:rPr>
              <w:t>Step</w:t>
            </w:r>
          </w:p>
        </w:tc>
        <w:tc>
          <w:tcPr>
            <w:tcW w:w="6336" w:type="dxa"/>
            <w:shd w:val="clear" w:color="auto" w:fill="1B2A4A"/>
            <w:tcMar>
              <w:top w:w="100" w:type="dxa"/>
              <w:left w:w="120" w:type="dxa"/>
              <w:bottom w:w="100" w:type="dxa"/>
              <w:right w:w="120" w:type="dxa"/>
            </w:tcMar>
          </w:tcPr>
          <w:p w14:paraId="1C58B9FF" w14:textId="77777777" w:rsidR="00305285" w:rsidRDefault="00000000">
            <w:r>
              <w:rPr>
                <w:rFonts w:ascii="Arial" w:eastAsia="Arial" w:hAnsi="Arial" w:cs="Arial"/>
                <w:b/>
                <w:bCs/>
                <w:color w:val="FFFFFF"/>
                <w:sz w:val="18"/>
                <w:szCs w:val="18"/>
              </w:rPr>
              <w:t>What Happens</w:t>
            </w:r>
          </w:p>
        </w:tc>
      </w:tr>
      <w:tr w:rsidR="00305285" w14:paraId="04C277ED" w14:textId="77777777">
        <w:tc>
          <w:tcPr>
            <w:tcW w:w="2880" w:type="dxa"/>
            <w:shd w:val="clear" w:color="auto" w:fill="F5EFDD"/>
            <w:tcMar>
              <w:top w:w="100" w:type="dxa"/>
              <w:left w:w="120" w:type="dxa"/>
              <w:bottom w:w="100" w:type="dxa"/>
              <w:right w:w="120" w:type="dxa"/>
            </w:tcMar>
          </w:tcPr>
          <w:p w14:paraId="56CC3336" w14:textId="77777777" w:rsidR="00305285" w:rsidRDefault="00000000">
            <w:r>
              <w:rPr>
                <w:b/>
                <w:bCs/>
                <w:color w:val="222222"/>
                <w:sz w:val="18"/>
                <w:szCs w:val="18"/>
              </w:rPr>
              <w:t>1. Process &amp; Procedure Review</w:t>
            </w:r>
          </w:p>
        </w:tc>
        <w:tc>
          <w:tcPr>
            <w:tcW w:w="6336" w:type="dxa"/>
            <w:shd w:val="clear" w:color="auto" w:fill="F5EFDD"/>
            <w:tcMar>
              <w:top w:w="100" w:type="dxa"/>
              <w:left w:w="120" w:type="dxa"/>
              <w:bottom w:w="100" w:type="dxa"/>
              <w:right w:w="120" w:type="dxa"/>
            </w:tcMar>
          </w:tcPr>
          <w:p w14:paraId="72D587AA" w14:textId="77777777" w:rsidR="00305285" w:rsidRDefault="00000000">
            <w:r>
              <w:rPr>
                <w:color w:val="222222"/>
                <w:sz w:val="18"/>
                <w:szCs w:val="18"/>
              </w:rPr>
              <w:t>Reviews the client's operational baseline — workflows, SOPs, compliance requirements, knowledge repositories, and bottlenecks — to identify where AI can restructure, automate, or augment operations.</w:t>
            </w:r>
          </w:p>
        </w:tc>
      </w:tr>
      <w:tr w:rsidR="00305285" w14:paraId="3503EB04" w14:textId="77777777">
        <w:tc>
          <w:tcPr>
            <w:tcW w:w="2880" w:type="dxa"/>
            <w:shd w:val="clear" w:color="auto" w:fill="EEF2F8"/>
            <w:tcMar>
              <w:top w:w="100" w:type="dxa"/>
              <w:left w:w="120" w:type="dxa"/>
              <w:bottom w:w="100" w:type="dxa"/>
              <w:right w:w="120" w:type="dxa"/>
            </w:tcMar>
          </w:tcPr>
          <w:p w14:paraId="337F799E" w14:textId="77777777" w:rsidR="00305285" w:rsidRDefault="00000000">
            <w:r>
              <w:rPr>
                <w:b/>
                <w:bCs/>
                <w:color w:val="222222"/>
                <w:sz w:val="18"/>
                <w:szCs w:val="18"/>
              </w:rPr>
              <w:t>2. AI Maturity Assessment</w:t>
            </w:r>
          </w:p>
        </w:tc>
        <w:tc>
          <w:tcPr>
            <w:tcW w:w="6336" w:type="dxa"/>
            <w:shd w:val="clear" w:color="auto" w:fill="EEF2F8"/>
            <w:tcMar>
              <w:top w:w="100" w:type="dxa"/>
              <w:left w:w="120" w:type="dxa"/>
              <w:bottom w:w="100" w:type="dxa"/>
              <w:right w:w="120" w:type="dxa"/>
            </w:tcMar>
          </w:tcPr>
          <w:p w14:paraId="3C6976EB" w14:textId="77777777" w:rsidR="00305285" w:rsidRDefault="00000000">
            <w:r>
              <w:rPr>
                <w:color w:val="222222"/>
                <w:sz w:val="18"/>
                <w:szCs w:val="18"/>
              </w:rPr>
              <w:t>Evaluates client readiness across AI literacy, capability, maturity, and culture to determine the right deployment strategy.</w:t>
            </w:r>
          </w:p>
        </w:tc>
      </w:tr>
      <w:tr w:rsidR="00305285" w14:paraId="6AF38C5F" w14:textId="77777777">
        <w:tc>
          <w:tcPr>
            <w:tcW w:w="2880" w:type="dxa"/>
            <w:shd w:val="clear" w:color="auto" w:fill="F5EFDD"/>
            <w:tcMar>
              <w:top w:w="100" w:type="dxa"/>
              <w:left w:w="120" w:type="dxa"/>
              <w:bottom w:w="100" w:type="dxa"/>
              <w:right w:w="120" w:type="dxa"/>
            </w:tcMar>
          </w:tcPr>
          <w:p w14:paraId="725BC387" w14:textId="77777777" w:rsidR="00305285" w:rsidRDefault="00000000">
            <w:r>
              <w:rPr>
                <w:b/>
                <w:bCs/>
                <w:color w:val="222222"/>
                <w:sz w:val="18"/>
                <w:szCs w:val="18"/>
              </w:rPr>
              <w:t>3. Sovereign AI Architecture Design</w:t>
            </w:r>
          </w:p>
        </w:tc>
        <w:tc>
          <w:tcPr>
            <w:tcW w:w="6336" w:type="dxa"/>
            <w:shd w:val="clear" w:color="auto" w:fill="F5EFDD"/>
            <w:tcMar>
              <w:top w:w="100" w:type="dxa"/>
              <w:left w:w="120" w:type="dxa"/>
              <w:bottom w:w="100" w:type="dxa"/>
              <w:right w:w="120" w:type="dxa"/>
            </w:tcMar>
          </w:tcPr>
          <w:p w14:paraId="45691265" w14:textId="77777777" w:rsidR="00305285" w:rsidRDefault="00000000">
            <w:r>
              <w:rPr>
                <w:color w:val="222222"/>
                <w:sz w:val="18"/>
                <w:szCs w:val="18"/>
              </w:rPr>
              <w:t>Designs a secure, private, vertically specialized environment — industry SLMs, knowledge ingestion pipelines, governance layers, role-based access, data sovereignty — so the AI is owned, controlled, and trusted by the client.</w:t>
            </w:r>
          </w:p>
        </w:tc>
      </w:tr>
      <w:tr w:rsidR="00305285" w14:paraId="71618C12" w14:textId="77777777">
        <w:tc>
          <w:tcPr>
            <w:tcW w:w="2880" w:type="dxa"/>
            <w:shd w:val="clear" w:color="auto" w:fill="EEF2F8"/>
            <w:tcMar>
              <w:top w:w="100" w:type="dxa"/>
              <w:left w:w="120" w:type="dxa"/>
              <w:bottom w:w="100" w:type="dxa"/>
              <w:right w:w="120" w:type="dxa"/>
            </w:tcMar>
          </w:tcPr>
          <w:p w14:paraId="1C5D16FE" w14:textId="77777777" w:rsidR="00305285" w:rsidRDefault="00000000">
            <w:r>
              <w:rPr>
                <w:b/>
                <w:bCs/>
                <w:color w:val="222222"/>
                <w:sz w:val="18"/>
                <w:szCs w:val="18"/>
              </w:rPr>
              <w:t>4. Workflow Modernization &amp; Automation</w:t>
            </w:r>
          </w:p>
        </w:tc>
        <w:tc>
          <w:tcPr>
            <w:tcW w:w="6336" w:type="dxa"/>
            <w:shd w:val="clear" w:color="auto" w:fill="EEF2F8"/>
            <w:tcMar>
              <w:top w:w="100" w:type="dxa"/>
              <w:left w:w="120" w:type="dxa"/>
              <w:bottom w:w="100" w:type="dxa"/>
              <w:right w:w="120" w:type="dxa"/>
            </w:tcMar>
          </w:tcPr>
          <w:p w14:paraId="3A47D921" w14:textId="77777777" w:rsidR="00305285" w:rsidRDefault="00000000">
            <w:r>
              <w:rPr>
                <w:color w:val="222222"/>
                <w:sz w:val="18"/>
                <w:szCs w:val="18"/>
              </w:rPr>
              <w:t>Deploys AI-enabled workflows across finance, operations, HR, compliance, marketing, customer service, and research to reduce cost, increase speed, and expand capability.</w:t>
            </w:r>
          </w:p>
        </w:tc>
      </w:tr>
      <w:tr w:rsidR="00305285" w14:paraId="3FE71772" w14:textId="77777777">
        <w:tc>
          <w:tcPr>
            <w:tcW w:w="2880" w:type="dxa"/>
            <w:shd w:val="clear" w:color="auto" w:fill="F5EFDD"/>
            <w:tcMar>
              <w:top w:w="100" w:type="dxa"/>
              <w:left w:w="120" w:type="dxa"/>
              <w:bottom w:w="100" w:type="dxa"/>
              <w:right w:w="120" w:type="dxa"/>
            </w:tcMar>
          </w:tcPr>
          <w:p w14:paraId="46477A83" w14:textId="77777777" w:rsidR="00305285" w:rsidRDefault="00000000">
            <w:r>
              <w:rPr>
                <w:b/>
                <w:bCs/>
                <w:color w:val="222222"/>
                <w:sz w:val="18"/>
                <w:szCs w:val="18"/>
              </w:rPr>
              <w:t>5. Ongoing Optimization</w:t>
            </w:r>
          </w:p>
        </w:tc>
        <w:tc>
          <w:tcPr>
            <w:tcW w:w="6336" w:type="dxa"/>
            <w:shd w:val="clear" w:color="auto" w:fill="F5EFDD"/>
            <w:tcMar>
              <w:top w:w="100" w:type="dxa"/>
              <w:left w:w="120" w:type="dxa"/>
              <w:bottom w:w="100" w:type="dxa"/>
              <w:right w:w="120" w:type="dxa"/>
            </w:tcMar>
          </w:tcPr>
          <w:p w14:paraId="3F33C3B0" w14:textId="77777777" w:rsidR="00305285" w:rsidRDefault="00000000">
            <w:r>
              <w:rPr>
                <w:color w:val="222222"/>
                <w:sz w:val="18"/>
                <w:szCs w:val="18"/>
              </w:rPr>
              <w:t>Quarterly capability reviews, model updates, workflow refinement, and competitive intelligence keep clients ahead of industry shifts.</w:t>
            </w:r>
          </w:p>
        </w:tc>
      </w:tr>
    </w:tbl>
    <w:p w14:paraId="1F7B4875" w14:textId="77777777" w:rsidR="00305285" w:rsidRDefault="00000000">
      <w:pPr>
        <w:pBdr>
          <w:bottom w:val="single" w:sz="6" w:space="4" w:color="C9A84C"/>
        </w:pBdr>
        <w:spacing w:before="260" w:after="100"/>
      </w:pPr>
      <w:r>
        <w:rPr>
          <w:rFonts w:ascii="Arial" w:eastAsia="Arial" w:hAnsi="Arial" w:cs="Arial"/>
          <w:b/>
          <w:bCs/>
          <w:color w:val="1B2A4A"/>
          <w:sz w:val="24"/>
          <w:szCs w:val="24"/>
        </w:rPr>
        <w:t>5. The Apex Enablement Framework</w:t>
      </w:r>
    </w:p>
    <w:p w14:paraId="57977463" w14:textId="77777777" w:rsidR="00305285" w:rsidRDefault="00000000">
      <w:pPr>
        <w:spacing w:after="140" w:line="276" w:lineRule="auto"/>
      </w:pPr>
      <w:r>
        <w:rPr>
          <w:color w:val="222222"/>
        </w:rPr>
        <w:lastRenderedPageBreak/>
        <w:t>Where the Apex Methodology above is how Apex engages a client directly, the Enablement Framework is how that same methodology transfers to an implementation partner's team:</w:t>
      </w:r>
    </w:p>
    <w:tbl>
      <w:tblPr>
        <w:tblW w:w="9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72"/>
        <w:gridCol w:w="7344"/>
      </w:tblGrid>
      <w:tr w:rsidR="00305285" w14:paraId="5067E3E8" w14:textId="77777777">
        <w:trPr>
          <w:tblHeader/>
        </w:trPr>
        <w:tc>
          <w:tcPr>
            <w:tcW w:w="1872" w:type="dxa"/>
            <w:shd w:val="clear" w:color="auto" w:fill="1B2A4A"/>
            <w:tcMar>
              <w:top w:w="100" w:type="dxa"/>
              <w:left w:w="120" w:type="dxa"/>
              <w:bottom w:w="100" w:type="dxa"/>
              <w:right w:w="120" w:type="dxa"/>
            </w:tcMar>
          </w:tcPr>
          <w:p w14:paraId="6858E988" w14:textId="77777777" w:rsidR="00305285" w:rsidRDefault="00000000">
            <w:r>
              <w:rPr>
                <w:rFonts w:ascii="Arial" w:eastAsia="Arial" w:hAnsi="Arial" w:cs="Arial"/>
                <w:b/>
                <w:bCs/>
                <w:color w:val="FFFFFF"/>
                <w:sz w:val="18"/>
                <w:szCs w:val="18"/>
              </w:rPr>
              <w:t>Stage</w:t>
            </w:r>
          </w:p>
        </w:tc>
        <w:tc>
          <w:tcPr>
            <w:tcW w:w="7344" w:type="dxa"/>
            <w:shd w:val="clear" w:color="auto" w:fill="1B2A4A"/>
            <w:tcMar>
              <w:top w:w="100" w:type="dxa"/>
              <w:left w:w="120" w:type="dxa"/>
              <w:bottom w:w="100" w:type="dxa"/>
              <w:right w:w="120" w:type="dxa"/>
            </w:tcMar>
          </w:tcPr>
          <w:p w14:paraId="3603F201" w14:textId="77777777" w:rsidR="00305285" w:rsidRDefault="00000000">
            <w:r>
              <w:rPr>
                <w:rFonts w:ascii="Arial" w:eastAsia="Arial" w:hAnsi="Arial" w:cs="Arial"/>
                <w:b/>
                <w:bCs/>
                <w:color w:val="FFFFFF"/>
                <w:sz w:val="18"/>
                <w:szCs w:val="18"/>
              </w:rPr>
              <w:t>What Happens</w:t>
            </w:r>
          </w:p>
        </w:tc>
      </w:tr>
      <w:tr w:rsidR="00305285" w14:paraId="7AFF1D95" w14:textId="77777777">
        <w:tc>
          <w:tcPr>
            <w:tcW w:w="1872" w:type="dxa"/>
            <w:shd w:val="clear" w:color="auto" w:fill="F5EFDD"/>
            <w:tcMar>
              <w:top w:w="100" w:type="dxa"/>
              <w:left w:w="120" w:type="dxa"/>
              <w:bottom w:w="100" w:type="dxa"/>
              <w:right w:w="120" w:type="dxa"/>
            </w:tcMar>
          </w:tcPr>
          <w:p w14:paraId="3C9F296D" w14:textId="77777777" w:rsidR="00305285" w:rsidRDefault="00000000">
            <w:r>
              <w:rPr>
                <w:b/>
                <w:bCs/>
                <w:color w:val="222222"/>
                <w:sz w:val="18"/>
                <w:szCs w:val="18"/>
              </w:rPr>
              <w:t>Discover</w:t>
            </w:r>
          </w:p>
        </w:tc>
        <w:tc>
          <w:tcPr>
            <w:tcW w:w="7344" w:type="dxa"/>
            <w:shd w:val="clear" w:color="auto" w:fill="F5EFDD"/>
            <w:tcMar>
              <w:top w:w="100" w:type="dxa"/>
              <w:left w:w="120" w:type="dxa"/>
              <w:bottom w:w="100" w:type="dxa"/>
              <w:right w:w="120" w:type="dxa"/>
            </w:tcMar>
          </w:tcPr>
          <w:p w14:paraId="410514E3" w14:textId="77777777" w:rsidR="00305285" w:rsidRDefault="00000000">
            <w:r>
              <w:rPr>
                <w:color w:val="222222"/>
                <w:sz w:val="18"/>
                <w:szCs w:val="18"/>
              </w:rPr>
              <w:t>Identify emerging AI technologies with commercial potential.</w:t>
            </w:r>
          </w:p>
        </w:tc>
      </w:tr>
      <w:tr w:rsidR="00305285" w14:paraId="2E7AFA39" w14:textId="77777777">
        <w:tc>
          <w:tcPr>
            <w:tcW w:w="1872" w:type="dxa"/>
            <w:shd w:val="clear" w:color="auto" w:fill="EEF2F8"/>
            <w:tcMar>
              <w:top w:w="100" w:type="dxa"/>
              <w:left w:w="120" w:type="dxa"/>
              <w:bottom w:w="100" w:type="dxa"/>
              <w:right w:w="120" w:type="dxa"/>
            </w:tcMar>
          </w:tcPr>
          <w:p w14:paraId="281EC428" w14:textId="77777777" w:rsidR="00305285" w:rsidRDefault="00000000">
            <w:r>
              <w:rPr>
                <w:b/>
                <w:bCs/>
                <w:color w:val="222222"/>
                <w:sz w:val="18"/>
                <w:szCs w:val="18"/>
              </w:rPr>
              <w:t>Architect</w:t>
            </w:r>
          </w:p>
        </w:tc>
        <w:tc>
          <w:tcPr>
            <w:tcW w:w="7344" w:type="dxa"/>
            <w:shd w:val="clear" w:color="auto" w:fill="EEF2F8"/>
            <w:tcMar>
              <w:top w:w="100" w:type="dxa"/>
              <w:left w:w="120" w:type="dxa"/>
              <w:bottom w:w="100" w:type="dxa"/>
              <w:right w:w="120" w:type="dxa"/>
            </w:tcMar>
          </w:tcPr>
          <w:p w14:paraId="3F580314" w14:textId="77777777" w:rsidR="00305285" w:rsidRDefault="00000000">
            <w:r>
              <w:rPr>
                <w:color w:val="222222"/>
                <w:sz w:val="18"/>
                <w:szCs w:val="18"/>
              </w:rPr>
              <w:t>Design secure, sovereign, industry-specific AI reference architectures.</w:t>
            </w:r>
          </w:p>
        </w:tc>
      </w:tr>
      <w:tr w:rsidR="00305285" w14:paraId="31A84F81" w14:textId="77777777">
        <w:tc>
          <w:tcPr>
            <w:tcW w:w="1872" w:type="dxa"/>
            <w:shd w:val="clear" w:color="auto" w:fill="F5EFDD"/>
            <w:tcMar>
              <w:top w:w="100" w:type="dxa"/>
              <w:left w:w="120" w:type="dxa"/>
              <w:bottom w:w="100" w:type="dxa"/>
              <w:right w:w="120" w:type="dxa"/>
            </w:tcMar>
          </w:tcPr>
          <w:p w14:paraId="3EDE1C06" w14:textId="77777777" w:rsidR="00305285" w:rsidRDefault="00000000">
            <w:r>
              <w:rPr>
                <w:b/>
                <w:bCs/>
                <w:color w:val="222222"/>
                <w:sz w:val="18"/>
                <w:szCs w:val="18"/>
              </w:rPr>
              <w:t>Validate</w:t>
            </w:r>
          </w:p>
        </w:tc>
        <w:tc>
          <w:tcPr>
            <w:tcW w:w="7344" w:type="dxa"/>
            <w:shd w:val="clear" w:color="auto" w:fill="F5EFDD"/>
            <w:tcMar>
              <w:top w:w="100" w:type="dxa"/>
              <w:left w:w="120" w:type="dxa"/>
              <w:bottom w:w="100" w:type="dxa"/>
              <w:right w:w="120" w:type="dxa"/>
            </w:tcMar>
          </w:tcPr>
          <w:p w14:paraId="69E5D84F" w14:textId="77777777" w:rsidR="00305285" w:rsidRDefault="00000000">
            <w:r>
              <w:rPr>
                <w:color w:val="222222"/>
                <w:sz w:val="18"/>
                <w:szCs w:val="18"/>
              </w:rPr>
              <w:t>Demonstrate measurable business outcomes through pilot deployments.</w:t>
            </w:r>
          </w:p>
        </w:tc>
      </w:tr>
      <w:tr w:rsidR="00305285" w14:paraId="42E2BFBC" w14:textId="77777777">
        <w:tc>
          <w:tcPr>
            <w:tcW w:w="1872" w:type="dxa"/>
            <w:shd w:val="clear" w:color="auto" w:fill="EEF2F8"/>
            <w:tcMar>
              <w:top w:w="100" w:type="dxa"/>
              <w:left w:w="120" w:type="dxa"/>
              <w:bottom w:w="100" w:type="dxa"/>
              <w:right w:w="120" w:type="dxa"/>
            </w:tcMar>
          </w:tcPr>
          <w:p w14:paraId="20FEC48F" w14:textId="77777777" w:rsidR="00305285" w:rsidRDefault="00000000">
            <w:r>
              <w:rPr>
                <w:b/>
                <w:bCs/>
                <w:color w:val="222222"/>
                <w:sz w:val="18"/>
                <w:szCs w:val="18"/>
              </w:rPr>
              <w:t>Enable</w:t>
            </w:r>
          </w:p>
        </w:tc>
        <w:tc>
          <w:tcPr>
            <w:tcW w:w="7344" w:type="dxa"/>
            <w:shd w:val="clear" w:color="auto" w:fill="EEF2F8"/>
            <w:tcMar>
              <w:top w:w="100" w:type="dxa"/>
              <w:left w:w="120" w:type="dxa"/>
              <w:bottom w:w="100" w:type="dxa"/>
              <w:right w:w="120" w:type="dxa"/>
            </w:tcMar>
          </w:tcPr>
          <w:p w14:paraId="68C75A5E" w14:textId="77777777" w:rsidR="00305285" w:rsidRDefault="00000000">
            <w:r>
              <w:rPr>
                <w:color w:val="222222"/>
                <w:sz w:val="18"/>
                <w:szCs w:val="18"/>
              </w:rPr>
              <w:t>Equip channel partners with deployment guides, governance, training, and certification.</w:t>
            </w:r>
          </w:p>
        </w:tc>
      </w:tr>
      <w:tr w:rsidR="00305285" w14:paraId="30076E0B" w14:textId="77777777">
        <w:tc>
          <w:tcPr>
            <w:tcW w:w="1872" w:type="dxa"/>
            <w:shd w:val="clear" w:color="auto" w:fill="F5EFDD"/>
            <w:tcMar>
              <w:top w:w="100" w:type="dxa"/>
              <w:left w:w="120" w:type="dxa"/>
              <w:bottom w:w="100" w:type="dxa"/>
              <w:right w:w="120" w:type="dxa"/>
            </w:tcMar>
          </w:tcPr>
          <w:p w14:paraId="0FE2653E" w14:textId="77777777" w:rsidR="00305285" w:rsidRDefault="00000000">
            <w:r>
              <w:rPr>
                <w:b/>
                <w:bCs/>
                <w:color w:val="222222"/>
                <w:sz w:val="18"/>
                <w:szCs w:val="18"/>
              </w:rPr>
              <w:t>Scale</w:t>
            </w:r>
          </w:p>
        </w:tc>
        <w:tc>
          <w:tcPr>
            <w:tcW w:w="7344" w:type="dxa"/>
            <w:shd w:val="clear" w:color="auto" w:fill="F5EFDD"/>
            <w:tcMar>
              <w:top w:w="100" w:type="dxa"/>
              <w:left w:w="120" w:type="dxa"/>
              <w:bottom w:w="100" w:type="dxa"/>
              <w:right w:w="120" w:type="dxa"/>
            </w:tcMar>
          </w:tcPr>
          <w:p w14:paraId="7B52BC1C" w14:textId="77777777" w:rsidR="00305285" w:rsidRDefault="00000000">
            <w:r>
              <w:rPr>
                <w:color w:val="222222"/>
                <w:sz w:val="18"/>
                <w:szCs w:val="18"/>
              </w:rPr>
              <w:t>Drive broad SMB adoption through an ecosystem of MSPs, cloud providers, and strategic partners.</w:t>
            </w:r>
          </w:p>
        </w:tc>
      </w:tr>
    </w:tbl>
    <w:p w14:paraId="281556D1" w14:textId="77777777" w:rsidR="00305285" w:rsidRDefault="00000000">
      <w:pPr>
        <w:spacing w:after="140" w:line="276" w:lineRule="auto"/>
      </w:pPr>
      <w:r>
        <w:rPr>
          <w:color w:val="222222"/>
        </w:rPr>
        <w:t>This sequence shifts the center of gravity away from software or hardware and toward intellectual property, commercialization, and ecosystem enablement — the layer Apex is built to own.</w:t>
      </w:r>
    </w:p>
    <w:p w14:paraId="55B059F4" w14:textId="77777777" w:rsidR="00305285" w:rsidRDefault="00000000">
      <w:pPr>
        <w:pBdr>
          <w:bottom w:val="single" w:sz="6" w:space="4" w:color="C9A84C"/>
        </w:pBdr>
        <w:spacing w:before="260" w:after="100"/>
      </w:pPr>
      <w:r>
        <w:rPr>
          <w:rFonts w:ascii="Arial" w:eastAsia="Arial" w:hAnsi="Arial" w:cs="Arial"/>
          <w:b/>
          <w:bCs/>
          <w:color w:val="1B2A4A"/>
          <w:sz w:val="24"/>
          <w:szCs w:val="24"/>
        </w:rPr>
        <w:t>6. The Operating Model: Identify, Transform, Enable</w:t>
      </w:r>
    </w:p>
    <w:p w14:paraId="6977D129" w14:textId="77777777" w:rsidR="00305285" w:rsidRDefault="00000000">
      <w:pPr>
        <w:spacing w:before="200" w:after="80"/>
      </w:pPr>
      <w:r>
        <w:rPr>
          <w:rFonts w:ascii="Arial" w:eastAsia="Arial" w:hAnsi="Arial" w:cs="Arial"/>
          <w:b/>
          <w:bCs/>
          <w:color w:val="1B2A4A"/>
          <w:sz w:val="21"/>
          <w:szCs w:val="21"/>
        </w:rPr>
        <w:t>6.1 Identify — the market is segmenting</w:t>
      </w:r>
    </w:p>
    <w:p w14:paraId="34A004D6" w14:textId="49EB85F1" w:rsidR="00305285" w:rsidRDefault="00000000">
      <w:pPr>
        <w:spacing w:after="140" w:line="276" w:lineRule="auto"/>
      </w:pPr>
      <w:r>
        <w:rPr>
          <w:color w:val="222222"/>
        </w:rPr>
        <w:t xml:space="preserve">Computing evolved from mainframes to minicomputers to PCs to client-server to cloud to edge. AI is following the same arc — moving from massive frontier models toward smaller specialized models, vertical domain models, </w:t>
      </w:r>
      <w:r w:rsidR="009C7CAD">
        <w:rPr>
          <w:color w:val="222222"/>
        </w:rPr>
        <w:t>on-premises</w:t>
      </w:r>
      <w:r>
        <w:rPr>
          <w:color w:val="222222"/>
        </w:rPr>
        <w:t xml:space="preserve"> sovereign models, and federated and edge AI. Apex's job is to track that segmentation and identify which inflection points — vertical SLMs, agentic AI, sovereign AI — have real, near-term commercial potential for the SMB market specifically.</w:t>
      </w:r>
    </w:p>
    <w:p w14:paraId="79E651A4" w14:textId="77777777" w:rsidR="00305285" w:rsidRDefault="00000000">
      <w:pPr>
        <w:spacing w:before="200" w:after="80"/>
      </w:pPr>
      <w:r>
        <w:rPr>
          <w:rFonts w:ascii="Arial" w:eastAsia="Arial" w:hAnsi="Arial" w:cs="Arial"/>
          <w:b/>
          <w:bCs/>
          <w:color w:val="1B2A4A"/>
          <w:sz w:val="21"/>
          <w:szCs w:val="21"/>
        </w:rPr>
        <w:t>6.2 Transform — sell outcomes, not models</w:t>
      </w:r>
    </w:p>
    <w:p w14:paraId="13D700DC" w14:textId="77777777" w:rsidR="00305285" w:rsidRDefault="00000000">
      <w:pPr>
        <w:spacing w:after="140" w:line="276" w:lineRule="auto"/>
      </w:pPr>
      <w:r>
        <w:rPr>
          <w:color w:val="222222"/>
        </w:rPr>
        <w:t>Apex never sells “an SLM.” Apex sells a complete accounting AI platform, or a legal platform, or a healthcare platform, or an insurance platform. The customer never buys a model — they buy a business outcome, wrapped in the architecture, governance, security, and ROI methodology that makes it defensible to their own leadership and regulators.</w:t>
      </w:r>
    </w:p>
    <w:p w14:paraId="3A48AA33" w14:textId="77777777" w:rsidR="00305285" w:rsidRDefault="00000000">
      <w:pPr>
        <w:spacing w:before="200" w:after="80"/>
      </w:pPr>
      <w:r>
        <w:rPr>
          <w:rFonts w:ascii="Arial" w:eastAsia="Arial" w:hAnsi="Arial" w:cs="Arial"/>
          <w:b/>
          <w:bCs/>
          <w:color w:val="1B2A4A"/>
          <w:sz w:val="21"/>
          <w:szCs w:val="21"/>
        </w:rPr>
        <w:t>6.3 Enable — build the ecosystem, don't compete with it</w:t>
      </w:r>
    </w:p>
    <w:p w14:paraId="10B63BCD" w14:textId="3AEA7013" w:rsidR="00305285" w:rsidRDefault="00000000">
      <w:pPr>
        <w:spacing w:after="140" w:line="276" w:lineRule="auto"/>
      </w:pPr>
      <w:r>
        <w:rPr>
          <w:color w:val="222222"/>
        </w:rPr>
        <w:t>This is the center of the partnership thesis. Apex should not compete with the systems integrators, cloud providers, and hardware OEMs already sitting inside the client relationship — a category that includes firms like G</w:t>
      </w:r>
      <w:r w:rsidR="009C7CAD">
        <w:rPr>
          <w:color w:val="222222"/>
        </w:rPr>
        <w:t>DC</w:t>
      </w:r>
      <w:r>
        <w:rPr>
          <w:color w:val="222222"/>
        </w:rPr>
        <w:t xml:space="preserve">, </w:t>
      </w:r>
      <w:r w:rsidR="009C7CAD">
        <w:rPr>
          <w:color w:val="222222"/>
        </w:rPr>
        <w:t xml:space="preserve">Apple, </w:t>
      </w:r>
      <w:r>
        <w:rPr>
          <w:color w:val="222222"/>
        </w:rPr>
        <w:t xml:space="preserve">Dell, </w:t>
      </w:r>
      <w:r w:rsidR="009C7CAD">
        <w:rPr>
          <w:color w:val="222222"/>
        </w:rPr>
        <w:t xml:space="preserve">HP </w:t>
      </w:r>
      <w:r>
        <w:rPr>
          <w:color w:val="222222"/>
        </w:rPr>
        <w:t xml:space="preserve">and Lenovo alongside specialist implementation firms such as E78, </w:t>
      </w:r>
      <w:r w:rsidR="009C7CAD">
        <w:rPr>
          <w:color w:val="222222"/>
        </w:rPr>
        <w:t xml:space="preserve">Integris, Pax 8, </w:t>
      </w:r>
      <w:r>
        <w:rPr>
          <w:color w:val="222222"/>
        </w:rPr>
        <w:t>Ollion, and Monks. Instead, Apex becomes the intellectual property layer that makes those companies more successful: the methodology, the reference architecture, the vertical frameworks, the governance model, the security model, the ROI methodology, and the partner certification program. Apex owns the IP; the implementation partner owns and leverages the client relationship to deliver Apex-powered solutions.</w:t>
      </w:r>
    </w:p>
    <w:p w14:paraId="3A20CFB6" w14:textId="77777777" w:rsidR="00305285" w:rsidRDefault="00000000">
      <w:pPr>
        <w:pBdr>
          <w:bottom w:val="single" w:sz="6" w:space="4" w:color="C9A84C"/>
        </w:pBdr>
        <w:spacing w:before="260" w:after="100"/>
      </w:pPr>
      <w:r>
        <w:rPr>
          <w:rFonts w:ascii="Arial" w:eastAsia="Arial" w:hAnsi="Arial" w:cs="Arial"/>
          <w:b/>
          <w:bCs/>
          <w:color w:val="1B2A4A"/>
          <w:sz w:val="24"/>
          <w:szCs w:val="24"/>
        </w:rPr>
        <w:t>7. Market Opportunity</w:t>
      </w:r>
    </w:p>
    <w:p w14:paraId="17CD415A" w14:textId="77777777" w:rsidR="00305285" w:rsidRDefault="00000000">
      <w:pPr>
        <w:spacing w:before="200" w:after="80"/>
      </w:pPr>
      <w:r>
        <w:rPr>
          <w:rFonts w:ascii="Arial" w:eastAsia="Arial" w:hAnsi="Arial" w:cs="Arial"/>
          <w:b/>
          <w:bCs/>
          <w:color w:val="1B2A4A"/>
          <w:sz w:val="21"/>
          <w:szCs w:val="21"/>
        </w:rPr>
        <w:t>Primary Markets</w:t>
      </w:r>
    </w:p>
    <w:p w14:paraId="3850D111" w14:textId="77777777" w:rsidR="00305285" w:rsidRDefault="00000000">
      <w:pPr>
        <w:pStyle w:val="ListParagraph"/>
        <w:numPr>
          <w:ilvl w:val="0"/>
          <w:numId w:val="2"/>
        </w:numPr>
        <w:spacing w:after="90" w:line="264" w:lineRule="auto"/>
      </w:pPr>
      <w:r>
        <w:rPr>
          <w:color w:val="222222"/>
        </w:rPr>
        <w:t>Small &amp; Mid-Sized Businesses — need practical, affordable AI; lack internal expertise; highly willing to adopt tools that reduce cost and complexity.</w:t>
      </w:r>
    </w:p>
    <w:p w14:paraId="0F715BEF" w14:textId="77777777" w:rsidR="00305285" w:rsidRDefault="00000000">
      <w:pPr>
        <w:pStyle w:val="ListParagraph"/>
        <w:numPr>
          <w:ilvl w:val="0"/>
          <w:numId w:val="2"/>
        </w:numPr>
        <w:spacing w:after="90" w:line="264" w:lineRule="auto"/>
      </w:pPr>
      <w:r>
        <w:rPr>
          <w:color w:val="222222"/>
        </w:rPr>
        <w:t>Managed Service Providers — already trusted advisors to the SMB market, actively looking for a sovereign AI offering, and structurally the perfect channel partner.</w:t>
      </w:r>
    </w:p>
    <w:p w14:paraId="0AE0A2BD" w14:textId="77777777" w:rsidR="00305285" w:rsidRDefault="00000000">
      <w:pPr>
        <w:spacing w:before="200" w:after="80"/>
      </w:pPr>
      <w:r>
        <w:rPr>
          <w:rFonts w:ascii="Arial" w:eastAsia="Arial" w:hAnsi="Arial" w:cs="Arial"/>
          <w:b/>
          <w:bCs/>
          <w:color w:val="1B2A4A"/>
          <w:sz w:val="21"/>
          <w:szCs w:val="21"/>
        </w:rPr>
        <w:t>Secondary Markets</w:t>
      </w:r>
    </w:p>
    <w:p w14:paraId="66CFE800" w14:textId="77777777" w:rsidR="00305285" w:rsidRDefault="00000000">
      <w:pPr>
        <w:pStyle w:val="ListParagraph"/>
        <w:numPr>
          <w:ilvl w:val="0"/>
          <w:numId w:val="2"/>
        </w:numPr>
        <w:spacing w:after="90" w:line="264" w:lineRule="auto"/>
      </w:pPr>
      <w:r>
        <w:rPr>
          <w:color w:val="222222"/>
        </w:rPr>
        <w:t>Professional services, healthcare practices, local government units, nonprofits, and industry associations.</w:t>
      </w:r>
    </w:p>
    <w:p w14:paraId="510442CF" w14:textId="77777777" w:rsidR="00305285" w:rsidRDefault="00000000">
      <w:pPr>
        <w:spacing w:after="140" w:line="276" w:lineRule="auto"/>
      </w:pPr>
      <w:r>
        <w:rPr>
          <w:color w:val="222222"/>
        </w:rPr>
        <w:t>Large enterprises already have data scientists, AI engineering teams, large consulting firms, and multi-million-dollar budgets. SMBs generally do not — yet they account for roughly half of U.S. private-sector GDP and employment, often operate on thin margins, and face increasing competitive pressure to improve productivity.</w:t>
      </w:r>
    </w:p>
    <w:p w14:paraId="2B83CDE0" w14:textId="77777777" w:rsidR="00305285" w:rsidRDefault="00000000">
      <w:pPr>
        <w:spacing w:after="140" w:line="276" w:lineRule="auto"/>
      </w:pPr>
      <w:r>
        <w:rPr>
          <w:color w:val="222222"/>
        </w:rPr>
        <w:lastRenderedPageBreak/>
        <w:t>A typical SMB accounting firm doesn't need a trillion-parameter model. It needs secure document search, tax research, engagement management, knowledge retention, workflow automation, and compliance support — capabilities a verticalized SLM running in a private environment can deliver effectively today. SMB AI workloads are also, structurally, a better fit for this architecture: they are predictable, repetitive, and involve proprietary business data, which is exactly what domain-specific models running in private environments are built for.</w:t>
      </w:r>
    </w:p>
    <w:p w14:paraId="7A7DD992" w14:textId="77777777" w:rsidR="00305285" w:rsidRDefault="00000000">
      <w:pPr>
        <w:spacing w:after="140" w:line="276" w:lineRule="auto"/>
      </w:pPr>
      <w:r>
        <w:rPr>
          <w:color w:val="222222"/>
        </w:rPr>
        <w:t>In that frame, Apex operates as an AI market catalyst — an organization that accelerates adoption by reducing the complexity of bringing sovereign AI to SMBs, rather than one more vendor asking a business to evaluate models on its own.</w:t>
      </w:r>
    </w:p>
    <w:p w14:paraId="4910B604" w14:textId="77777777" w:rsidR="00305285" w:rsidRDefault="00000000">
      <w:pPr>
        <w:pBdr>
          <w:bottom w:val="single" w:sz="6" w:space="4" w:color="C9A84C"/>
        </w:pBdr>
        <w:spacing w:before="260" w:after="100"/>
      </w:pPr>
      <w:r>
        <w:rPr>
          <w:rFonts w:ascii="Arial" w:eastAsia="Arial" w:hAnsi="Arial" w:cs="Arial"/>
          <w:b/>
          <w:bCs/>
          <w:color w:val="1B2A4A"/>
          <w:sz w:val="24"/>
          <w:szCs w:val="24"/>
        </w:rPr>
        <w:t>8. Competitive Landscape</w:t>
      </w:r>
    </w:p>
    <w:tbl>
      <w:tblPr>
        <w:tblW w:w="9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08"/>
        <w:gridCol w:w="4608"/>
      </w:tblGrid>
      <w:tr w:rsidR="00305285" w14:paraId="65164A33" w14:textId="77777777">
        <w:trPr>
          <w:tblHeader/>
        </w:trPr>
        <w:tc>
          <w:tcPr>
            <w:tcW w:w="4608" w:type="dxa"/>
            <w:shd w:val="clear" w:color="auto" w:fill="1B2A4A"/>
            <w:tcMar>
              <w:top w:w="100" w:type="dxa"/>
              <w:left w:w="120" w:type="dxa"/>
              <w:bottom w:w="100" w:type="dxa"/>
              <w:right w:w="120" w:type="dxa"/>
            </w:tcMar>
          </w:tcPr>
          <w:p w14:paraId="21239A96" w14:textId="77777777" w:rsidR="00305285" w:rsidRDefault="00000000">
            <w:r>
              <w:rPr>
                <w:rFonts w:ascii="Arial" w:eastAsia="Arial" w:hAnsi="Arial" w:cs="Arial"/>
                <w:b/>
                <w:bCs/>
                <w:color w:val="FFFFFF"/>
                <w:sz w:val="18"/>
                <w:szCs w:val="18"/>
              </w:rPr>
              <w:t>Apex Differentiators</w:t>
            </w:r>
          </w:p>
        </w:tc>
        <w:tc>
          <w:tcPr>
            <w:tcW w:w="4608" w:type="dxa"/>
            <w:shd w:val="clear" w:color="auto" w:fill="1B2A4A"/>
            <w:tcMar>
              <w:top w:w="100" w:type="dxa"/>
              <w:left w:w="120" w:type="dxa"/>
              <w:bottom w:w="100" w:type="dxa"/>
              <w:right w:w="120" w:type="dxa"/>
            </w:tcMar>
          </w:tcPr>
          <w:p w14:paraId="6DEE2BE1" w14:textId="77777777" w:rsidR="00305285" w:rsidRDefault="00000000">
            <w:r>
              <w:rPr>
                <w:rFonts w:ascii="Arial" w:eastAsia="Arial" w:hAnsi="Arial" w:cs="Arial"/>
                <w:b/>
                <w:bCs/>
                <w:color w:val="FFFFFF"/>
                <w:sz w:val="18"/>
                <w:szCs w:val="18"/>
              </w:rPr>
              <w:t>Typical Competitors</w:t>
            </w:r>
          </w:p>
        </w:tc>
      </w:tr>
      <w:tr w:rsidR="00305285" w14:paraId="75C55DB9" w14:textId="77777777">
        <w:tc>
          <w:tcPr>
            <w:tcW w:w="4608" w:type="dxa"/>
            <w:shd w:val="clear" w:color="auto" w:fill="F5EFDD"/>
            <w:tcMar>
              <w:top w:w="100" w:type="dxa"/>
              <w:left w:w="120" w:type="dxa"/>
              <w:bottom w:w="100" w:type="dxa"/>
              <w:right w:w="120" w:type="dxa"/>
            </w:tcMar>
          </w:tcPr>
          <w:p w14:paraId="23298349" w14:textId="77777777" w:rsidR="00305285" w:rsidRDefault="00000000">
            <w:r>
              <w:rPr>
                <w:color w:val="222222"/>
                <w:sz w:val="18"/>
                <w:szCs w:val="18"/>
              </w:rPr>
              <w:t>Sovereign AI (not public LLMs)</w:t>
            </w:r>
          </w:p>
        </w:tc>
        <w:tc>
          <w:tcPr>
            <w:tcW w:w="4608" w:type="dxa"/>
            <w:shd w:val="clear" w:color="auto" w:fill="EEF2F8"/>
            <w:tcMar>
              <w:top w:w="100" w:type="dxa"/>
              <w:left w:w="120" w:type="dxa"/>
              <w:bottom w:w="100" w:type="dxa"/>
              <w:right w:w="120" w:type="dxa"/>
            </w:tcMar>
          </w:tcPr>
          <w:p w14:paraId="0A9E4B8F" w14:textId="77777777" w:rsidR="00305285" w:rsidRDefault="00000000">
            <w:r>
              <w:rPr>
                <w:color w:val="222222"/>
                <w:sz w:val="18"/>
                <w:szCs w:val="18"/>
              </w:rPr>
              <w:t>Generic AI consultants</w:t>
            </w:r>
          </w:p>
        </w:tc>
      </w:tr>
      <w:tr w:rsidR="00305285" w14:paraId="757EBE2B" w14:textId="77777777">
        <w:tc>
          <w:tcPr>
            <w:tcW w:w="4608" w:type="dxa"/>
            <w:shd w:val="clear" w:color="auto" w:fill="F5EFDD"/>
            <w:tcMar>
              <w:top w:w="100" w:type="dxa"/>
              <w:left w:w="120" w:type="dxa"/>
              <w:bottom w:w="100" w:type="dxa"/>
              <w:right w:w="120" w:type="dxa"/>
            </w:tcMar>
          </w:tcPr>
          <w:p w14:paraId="2FA98BED" w14:textId="77777777" w:rsidR="00305285" w:rsidRDefault="00000000">
            <w:r>
              <w:rPr>
                <w:color w:val="222222"/>
                <w:sz w:val="18"/>
                <w:szCs w:val="18"/>
              </w:rPr>
              <w:t>Vertical specialization</w:t>
            </w:r>
          </w:p>
        </w:tc>
        <w:tc>
          <w:tcPr>
            <w:tcW w:w="4608" w:type="dxa"/>
            <w:shd w:val="clear" w:color="auto" w:fill="EEF2F8"/>
            <w:tcMar>
              <w:top w:w="100" w:type="dxa"/>
              <w:left w:w="120" w:type="dxa"/>
              <w:bottom w:w="100" w:type="dxa"/>
              <w:right w:w="120" w:type="dxa"/>
            </w:tcMar>
          </w:tcPr>
          <w:p w14:paraId="1669D78B" w14:textId="77777777" w:rsidR="00305285" w:rsidRDefault="00000000">
            <w:r>
              <w:rPr>
                <w:color w:val="222222"/>
                <w:sz w:val="18"/>
                <w:szCs w:val="18"/>
              </w:rPr>
              <w:t>Automation vendors</w:t>
            </w:r>
          </w:p>
        </w:tc>
      </w:tr>
      <w:tr w:rsidR="00305285" w14:paraId="3D6C8BF0" w14:textId="77777777">
        <w:tc>
          <w:tcPr>
            <w:tcW w:w="4608" w:type="dxa"/>
            <w:shd w:val="clear" w:color="auto" w:fill="F5EFDD"/>
            <w:tcMar>
              <w:top w:w="100" w:type="dxa"/>
              <w:left w:w="120" w:type="dxa"/>
              <w:bottom w:w="100" w:type="dxa"/>
              <w:right w:w="120" w:type="dxa"/>
            </w:tcMar>
          </w:tcPr>
          <w:p w14:paraId="1A526D30" w14:textId="77777777" w:rsidR="00305285" w:rsidRDefault="00000000">
            <w:r>
              <w:rPr>
                <w:color w:val="222222"/>
                <w:sz w:val="18"/>
                <w:szCs w:val="18"/>
              </w:rPr>
              <w:t>Human-capital reinvestment focus</w:t>
            </w:r>
          </w:p>
        </w:tc>
        <w:tc>
          <w:tcPr>
            <w:tcW w:w="4608" w:type="dxa"/>
            <w:shd w:val="clear" w:color="auto" w:fill="EEF2F8"/>
            <w:tcMar>
              <w:top w:w="100" w:type="dxa"/>
              <w:left w:w="120" w:type="dxa"/>
              <w:bottom w:w="100" w:type="dxa"/>
              <w:right w:w="120" w:type="dxa"/>
            </w:tcMar>
          </w:tcPr>
          <w:p w14:paraId="67337DC3" w14:textId="77777777" w:rsidR="00305285" w:rsidRDefault="00000000">
            <w:r>
              <w:rPr>
                <w:color w:val="222222"/>
                <w:sz w:val="18"/>
                <w:szCs w:val="18"/>
              </w:rPr>
              <w:t>Cloud hyperscalers</w:t>
            </w:r>
          </w:p>
        </w:tc>
      </w:tr>
      <w:tr w:rsidR="00305285" w14:paraId="2E059200" w14:textId="77777777">
        <w:tc>
          <w:tcPr>
            <w:tcW w:w="4608" w:type="dxa"/>
            <w:shd w:val="clear" w:color="auto" w:fill="F5EFDD"/>
            <w:tcMar>
              <w:top w:w="100" w:type="dxa"/>
              <w:left w:w="120" w:type="dxa"/>
              <w:bottom w:w="100" w:type="dxa"/>
              <w:right w:w="120" w:type="dxa"/>
            </w:tcMar>
          </w:tcPr>
          <w:p w14:paraId="084157D3" w14:textId="77777777" w:rsidR="00305285" w:rsidRDefault="00000000">
            <w:r>
              <w:rPr>
                <w:color w:val="222222"/>
                <w:sz w:val="18"/>
                <w:szCs w:val="18"/>
              </w:rPr>
              <w:t>Methodology-driven, channel-friendly, compliance-oriented</w:t>
            </w:r>
          </w:p>
        </w:tc>
        <w:tc>
          <w:tcPr>
            <w:tcW w:w="4608" w:type="dxa"/>
            <w:shd w:val="clear" w:color="auto" w:fill="EEF2F8"/>
            <w:tcMar>
              <w:top w:w="100" w:type="dxa"/>
              <w:left w:w="120" w:type="dxa"/>
              <w:bottom w:w="100" w:type="dxa"/>
              <w:right w:w="120" w:type="dxa"/>
            </w:tcMar>
          </w:tcPr>
          <w:p w14:paraId="4DD2E0C4" w14:textId="77777777" w:rsidR="00305285" w:rsidRDefault="00000000">
            <w:r>
              <w:rPr>
                <w:color w:val="222222"/>
                <w:sz w:val="18"/>
                <w:szCs w:val="18"/>
              </w:rPr>
              <w:t>Off-the-shelf AI tools</w:t>
            </w:r>
          </w:p>
        </w:tc>
      </w:tr>
    </w:tbl>
    <w:p w14:paraId="26BED8D4" w14:textId="77777777" w:rsidR="00305285" w:rsidRDefault="00000000">
      <w:pPr>
        <w:spacing w:after="140" w:line="276" w:lineRule="auto"/>
      </w:pPr>
      <w:r>
        <w:rPr>
          <w:color w:val="222222"/>
        </w:rPr>
        <w:t>Apex wins by being trusted, specialized, sovereign, and human-centric — not by out-building hyperscalers or out-consulting the major firms.</w:t>
      </w:r>
    </w:p>
    <w:p w14:paraId="0290F3CB" w14:textId="77777777" w:rsidR="00305285" w:rsidRDefault="00000000">
      <w:pPr>
        <w:pBdr>
          <w:bottom w:val="single" w:sz="6" w:space="4" w:color="C9A84C"/>
        </w:pBdr>
        <w:spacing w:before="260" w:after="100"/>
      </w:pPr>
      <w:r>
        <w:rPr>
          <w:rFonts w:ascii="Arial" w:eastAsia="Arial" w:hAnsi="Arial" w:cs="Arial"/>
          <w:b/>
          <w:bCs/>
          <w:color w:val="1B2A4A"/>
          <w:sz w:val="24"/>
          <w:szCs w:val="24"/>
        </w:rPr>
        <w:t>9. Illustrative Reference Architecture (Concept)</w:t>
      </w:r>
    </w:p>
    <w:p w14:paraId="0DE55DC2" w14:textId="68186113" w:rsidR="00305285" w:rsidRDefault="00000000">
      <w:pPr>
        <w:spacing w:after="140" w:line="276" w:lineRule="auto"/>
      </w:pPr>
      <w:r>
        <w:rPr>
          <w:color w:val="222222"/>
        </w:rPr>
        <w:t xml:space="preserve">One expression of the CDI framework — still in concept — is a tiered, fixed-cost hardware reference architecture built on private, </w:t>
      </w:r>
      <w:r w:rsidR="009C7CAD">
        <w:rPr>
          <w:color w:val="222222"/>
        </w:rPr>
        <w:t>on-premises</w:t>
      </w:r>
      <w:r>
        <w:rPr>
          <w:color w:val="222222"/>
        </w:rPr>
        <w:t xml:space="preserve"> inference rather than per-token cloud billing. Every tier is sovereign, private, fixed-cost, easy to deploy, and verticalized for the customer's industry: effectively an “AI server in a box” that an MSP can install in a few hours and manage remotely.</w:t>
      </w:r>
    </w:p>
    <w:tbl>
      <w:tblPr>
        <w:tblW w:w="9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73"/>
        <w:gridCol w:w="1584"/>
        <w:gridCol w:w="2735"/>
        <w:gridCol w:w="3024"/>
      </w:tblGrid>
      <w:tr w:rsidR="00305285" w14:paraId="24EC1999" w14:textId="77777777">
        <w:trPr>
          <w:tblHeader/>
        </w:trPr>
        <w:tc>
          <w:tcPr>
            <w:tcW w:w="1872" w:type="dxa"/>
            <w:shd w:val="clear" w:color="auto" w:fill="1B2A4A"/>
            <w:tcMar>
              <w:top w:w="100" w:type="dxa"/>
              <w:left w:w="120" w:type="dxa"/>
              <w:bottom w:w="100" w:type="dxa"/>
              <w:right w:w="120" w:type="dxa"/>
            </w:tcMar>
          </w:tcPr>
          <w:p w14:paraId="334A98FF" w14:textId="77777777" w:rsidR="00305285" w:rsidRDefault="00000000">
            <w:r>
              <w:rPr>
                <w:rFonts w:ascii="Arial" w:eastAsia="Arial" w:hAnsi="Arial" w:cs="Arial"/>
                <w:b/>
                <w:bCs/>
                <w:color w:val="FFFFFF"/>
                <w:sz w:val="18"/>
                <w:szCs w:val="18"/>
              </w:rPr>
              <w:t>Tier</w:t>
            </w:r>
          </w:p>
        </w:tc>
        <w:tc>
          <w:tcPr>
            <w:tcW w:w="1584" w:type="dxa"/>
            <w:shd w:val="clear" w:color="auto" w:fill="1B2A4A"/>
            <w:tcMar>
              <w:top w:w="100" w:type="dxa"/>
              <w:left w:w="120" w:type="dxa"/>
              <w:bottom w:w="100" w:type="dxa"/>
              <w:right w:w="120" w:type="dxa"/>
            </w:tcMar>
          </w:tcPr>
          <w:p w14:paraId="4FDC3DFC" w14:textId="77777777" w:rsidR="00305285" w:rsidRDefault="00000000">
            <w:r>
              <w:rPr>
                <w:rFonts w:ascii="Arial" w:eastAsia="Arial" w:hAnsi="Arial" w:cs="Arial"/>
                <w:b/>
                <w:bCs/>
                <w:color w:val="FFFFFF"/>
                <w:sz w:val="18"/>
                <w:szCs w:val="18"/>
              </w:rPr>
              <w:t>Segment</w:t>
            </w:r>
          </w:p>
        </w:tc>
        <w:tc>
          <w:tcPr>
            <w:tcW w:w="2735" w:type="dxa"/>
            <w:shd w:val="clear" w:color="auto" w:fill="1B2A4A"/>
            <w:tcMar>
              <w:top w:w="100" w:type="dxa"/>
              <w:left w:w="120" w:type="dxa"/>
              <w:bottom w:w="100" w:type="dxa"/>
              <w:right w:w="120" w:type="dxa"/>
            </w:tcMar>
          </w:tcPr>
          <w:p w14:paraId="4F42D419" w14:textId="77777777" w:rsidR="00305285" w:rsidRDefault="00000000">
            <w:r>
              <w:rPr>
                <w:rFonts w:ascii="Arial" w:eastAsia="Arial" w:hAnsi="Arial" w:cs="Arial"/>
                <w:b/>
                <w:bCs/>
                <w:color w:val="FFFFFF"/>
                <w:sz w:val="18"/>
                <w:szCs w:val="18"/>
              </w:rPr>
              <w:t>Reference Hardware</w:t>
            </w:r>
          </w:p>
        </w:tc>
        <w:tc>
          <w:tcPr>
            <w:tcW w:w="3024" w:type="dxa"/>
            <w:shd w:val="clear" w:color="auto" w:fill="1B2A4A"/>
            <w:tcMar>
              <w:top w:w="100" w:type="dxa"/>
              <w:left w:w="120" w:type="dxa"/>
              <w:bottom w:w="100" w:type="dxa"/>
              <w:right w:w="120" w:type="dxa"/>
            </w:tcMar>
          </w:tcPr>
          <w:p w14:paraId="51CF9DF8" w14:textId="77777777" w:rsidR="00305285" w:rsidRDefault="00000000">
            <w:r>
              <w:rPr>
                <w:rFonts w:ascii="Arial" w:eastAsia="Arial" w:hAnsi="Arial" w:cs="Arial"/>
                <w:b/>
                <w:bCs/>
                <w:color w:val="FFFFFF"/>
                <w:sz w:val="18"/>
                <w:szCs w:val="18"/>
              </w:rPr>
              <w:t>Typical Workloads</w:t>
            </w:r>
          </w:p>
        </w:tc>
      </w:tr>
      <w:tr w:rsidR="00305285" w14:paraId="2A579D75" w14:textId="77777777">
        <w:tc>
          <w:tcPr>
            <w:tcW w:w="1872" w:type="dxa"/>
            <w:shd w:val="clear" w:color="auto" w:fill="F5EFDD"/>
            <w:tcMar>
              <w:top w:w="100" w:type="dxa"/>
              <w:left w:w="120" w:type="dxa"/>
              <w:bottom w:w="100" w:type="dxa"/>
              <w:right w:w="120" w:type="dxa"/>
            </w:tcMar>
          </w:tcPr>
          <w:p w14:paraId="109EC8A5" w14:textId="77777777" w:rsidR="00305285" w:rsidRDefault="00000000">
            <w:r>
              <w:rPr>
                <w:b/>
                <w:bCs/>
                <w:color w:val="222222"/>
                <w:sz w:val="18"/>
                <w:szCs w:val="18"/>
              </w:rPr>
              <w:t>Apex Desktop</w:t>
            </w:r>
          </w:p>
        </w:tc>
        <w:tc>
          <w:tcPr>
            <w:tcW w:w="1584" w:type="dxa"/>
            <w:shd w:val="clear" w:color="auto" w:fill="F5EFDD"/>
            <w:tcMar>
              <w:top w:w="100" w:type="dxa"/>
              <w:left w:w="120" w:type="dxa"/>
              <w:bottom w:w="100" w:type="dxa"/>
              <w:right w:w="120" w:type="dxa"/>
            </w:tcMar>
          </w:tcPr>
          <w:p w14:paraId="36840F0D" w14:textId="77777777" w:rsidR="00305285" w:rsidRDefault="00000000">
            <w:r>
              <w:rPr>
                <w:color w:val="222222"/>
                <w:sz w:val="18"/>
                <w:szCs w:val="18"/>
              </w:rPr>
              <w:t>Up to 50 employees</w:t>
            </w:r>
          </w:p>
        </w:tc>
        <w:tc>
          <w:tcPr>
            <w:tcW w:w="2735" w:type="dxa"/>
            <w:shd w:val="clear" w:color="auto" w:fill="F5EFDD"/>
            <w:tcMar>
              <w:top w:w="100" w:type="dxa"/>
              <w:left w:w="120" w:type="dxa"/>
              <w:bottom w:w="100" w:type="dxa"/>
              <w:right w:w="120" w:type="dxa"/>
            </w:tcMar>
          </w:tcPr>
          <w:p w14:paraId="0342268A" w14:textId="77777777" w:rsidR="00305285" w:rsidRDefault="00000000">
            <w:r>
              <w:rPr>
                <w:color w:val="222222"/>
                <w:sz w:val="18"/>
                <w:szCs w:val="18"/>
              </w:rPr>
              <w:t xml:space="preserve">Single Mac mini (M4 Pro-class), 24–64GB unified memory, running </w:t>
            </w:r>
            <w:proofErr w:type="spellStart"/>
            <w:r>
              <w:rPr>
                <w:color w:val="222222"/>
                <w:sz w:val="18"/>
                <w:szCs w:val="18"/>
              </w:rPr>
              <w:t>Ollama</w:t>
            </w:r>
            <w:proofErr w:type="spellEnd"/>
            <w:r>
              <w:rPr>
                <w:color w:val="222222"/>
                <w:sz w:val="18"/>
                <w:szCs w:val="18"/>
              </w:rPr>
              <w:t>/MLX</w:t>
            </w:r>
          </w:p>
        </w:tc>
        <w:tc>
          <w:tcPr>
            <w:tcW w:w="3024" w:type="dxa"/>
            <w:shd w:val="clear" w:color="auto" w:fill="F5EFDD"/>
            <w:tcMar>
              <w:top w:w="100" w:type="dxa"/>
              <w:left w:w="120" w:type="dxa"/>
              <w:bottom w:w="100" w:type="dxa"/>
              <w:right w:w="120" w:type="dxa"/>
            </w:tcMar>
          </w:tcPr>
          <w:p w14:paraId="1BCD342F" w14:textId="77777777" w:rsidR="00305285" w:rsidRDefault="00000000">
            <w:r>
              <w:rPr>
                <w:color w:val="222222"/>
                <w:sz w:val="18"/>
                <w:szCs w:val="18"/>
              </w:rPr>
              <w:t>Document search, HR/accounting assistants, policy Q&amp;A, contract review, RAG over company documents</w:t>
            </w:r>
          </w:p>
        </w:tc>
      </w:tr>
      <w:tr w:rsidR="00305285" w14:paraId="6C6B7E2E" w14:textId="77777777">
        <w:tc>
          <w:tcPr>
            <w:tcW w:w="1872" w:type="dxa"/>
            <w:shd w:val="clear" w:color="auto" w:fill="EEF2F8"/>
            <w:tcMar>
              <w:top w:w="100" w:type="dxa"/>
              <w:left w:w="120" w:type="dxa"/>
              <w:bottom w:w="100" w:type="dxa"/>
              <w:right w:w="120" w:type="dxa"/>
            </w:tcMar>
          </w:tcPr>
          <w:p w14:paraId="7E406CB0" w14:textId="77777777" w:rsidR="00305285" w:rsidRDefault="00000000">
            <w:r>
              <w:rPr>
                <w:b/>
                <w:bCs/>
                <w:color w:val="222222"/>
                <w:sz w:val="18"/>
                <w:szCs w:val="18"/>
              </w:rPr>
              <w:t>Apex Enterprise</w:t>
            </w:r>
          </w:p>
        </w:tc>
        <w:tc>
          <w:tcPr>
            <w:tcW w:w="1584" w:type="dxa"/>
            <w:shd w:val="clear" w:color="auto" w:fill="EEF2F8"/>
            <w:tcMar>
              <w:top w:w="100" w:type="dxa"/>
              <w:left w:w="120" w:type="dxa"/>
              <w:bottom w:w="100" w:type="dxa"/>
              <w:right w:w="120" w:type="dxa"/>
            </w:tcMar>
          </w:tcPr>
          <w:p w14:paraId="08969E51" w14:textId="77777777" w:rsidR="00305285" w:rsidRDefault="00000000">
            <w:r>
              <w:rPr>
                <w:color w:val="222222"/>
                <w:sz w:val="18"/>
                <w:szCs w:val="18"/>
              </w:rPr>
              <w:t>50–250 employees</w:t>
            </w:r>
          </w:p>
        </w:tc>
        <w:tc>
          <w:tcPr>
            <w:tcW w:w="2735" w:type="dxa"/>
            <w:shd w:val="clear" w:color="auto" w:fill="EEF2F8"/>
            <w:tcMar>
              <w:top w:w="100" w:type="dxa"/>
              <w:left w:w="120" w:type="dxa"/>
              <w:bottom w:w="100" w:type="dxa"/>
              <w:right w:w="120" w:type="dxa"/>
            </w:tcMar>
          </w:tcPr>
          <w:p w14:paraId="15443F01" w14:textId="77777777" w:rsidR="00305285" w:rsidRDefault="00000000">
            <w:r>
              <w:rPr>
                <w:color w:val="222222"/>
                <w:sz w:val="18"/>
                <w:szCs w:val="18"/>
              </w:rPr>
              <w:t>Mac Studio (M4 Max-class), 64–128GB unified memory</w:t>
            </w:r>
          </w:p>
        </w:tc>
        <w:tc>
          <w:tcPr>
            <w:tcW w:w="3024" w:type="dxa"/>
            <w:shd w:val="clear" w:color="auto" w:fill="EEF2F8"/>
            <w:tcMar>
              <w:top w:w="100" w:type="dxa"/>
              <w:left w:w="120" w:type="dxa"/>
              <w:bottom w:w="100" w:type="dxa"/>
              <w:right w:w="120" w:type="dxa"/>
            </w:tcMar>
          </w:tcPr>
          <w:p w14:paraId="7631B7F7" w14:textId="77777777" w:rsidR="00305285" w:rsidRDefault="00000000">
            <w:r>
              <w:rPr>
                <w:color w:val="222222"/>
                <w:sz w:val="18"/>
                <w:szCs w:val="18"/>
              </w:rPr>
              <w:t>Multiple concurrent agents, department-specific assistants, local embeddings, voice transcription, vision models</w:t>
            </w:r>
          </w:p>
        </w:tc>
      </w:tr>
      <w:tr w:rsidR="00305285" w14:paraId="47BEF0AA" w14:textId="77777777">
        <w:tc>
          <w:tcPr>
            <w:tcW w:w="1872" w:type="dxa"/>
            <w:shd w:val="clear" w:color="auto" w:fill="F5EFDD"/>
            <w:tcMar>
              <w:top w:w="100" w:type="dxa"/>
              <w:left w:w="120" w:type="dxa"/>
              <w:bottom w:w="100" w:type="dxa"/>
              <w:right w:w="120" w:type="dxa"/>
            </w:tcMar>
          </w:tcPr>
          <w:p w14:paraId="72D4A9DD" w14:textId="77777777" w:rsidR="00305285" w:rsidRDefault="00000000">
            <w:r>
              <w:rPr>
                <w:b/>
                <w:bCs/>
                <w:color w:val="222222"/>
                <w:sz w:val="18"/>
                <w:szCs w:val="18"/>
              </w:rPr>
              <w:t>Apex Cluster</w:t>
            </w:r>
          </w:p>
        </w:tc>
        <w:tc>
          <w:tcPr>
            <w:tcW w:w="1584" w:type="dxa"/>
            <w:shd w:val="clear" w:color="auto" w:fill="F5EFDD"/>
            <w:tcMar>
              <w:top w:w="100" w:type="dxa"/>
              <w:left w:w="120" w:type="dxa"/>
              <w:bottom w:w="100" w:type="dxa"/>
              <w:right w:w="120" w:type="dxa"/>
            </w:tcMar>
          </w:tcPr>
          <w:p w14:paraId="63856690" w14:textId="77777777" w:rsidR="00305285" w:rsidRDefault="00000000">
            <w:r>
              <w:rPr>
                <w:color w:val="222222"/>
                <w:sz w:val="18"/>
                <w:szCs w:val="18"/>
              </w:rPr>
              <w:t>250–500 employees</w:t>
            </w:r>
          </w:p>
        </w:tc>
        <w:tc>
          <w:tcPr>
            <w:tcW w:w="2735" w:type="dxa"/>
            <w:shd w:val="clear" w:color="auto" w:fill="F5EFDD"/>
            <w:tcMar>
              <w:top w:w="100" w:type="dxa"/>
              <w:left w:w="120" w:type="dxa"/>
              <w:bottom w:w="100" w:type="dxa"/>
              <w:right w:w="120" w:type="dxa"/>
            </w:tcMar>
          </w:tcPr>
          <w:p w14:paraId="0FBC9614" w14:textId="77777777" w:rsidR="00305285" w:rsidRDefault="00000000">
            <w:r>
              <w:rPr>
                <w:color w:val="222222"/>
                <w:sz w:val="18"/>
                <w:szCs w:val="18"/>
              </w:rPr>
              <w:t>Multiple Mac Studios: AI Gateway, HR/Finance/Legal/Executive agents, Knowledge Base, Security Layer</w:t>
            </w:r>
          </w:p>
        </w:tc>
        <w:tc>
          <w:tcPr>
            <w:tcW w:w="3024" w:type="dxa"/>
            <w:shd w:val="clear" w:color="auto" w:fill="F5EFDD"/>
            <w:tcMar>
              <w:top w:w="100" w:type="dxa"/>
              <w:left w:w="120" w:type="dxa"/>
              <w:bottom w:w="100" w:type="dxa"/>
              <w:right w:w="120" w:type="dxa"/>
            </w:tcMar>
          </w:tcPr>
          <w:p w14:paraId="50D64918" w14:textId="77777777" w:rsidR="00305285" w:rsidRDefault="00000000">
            <w:r>
              <w:rPr>
                <w:color w:val="222222"/>
                <w:sz w:val="18"/>
                <w:szCs w:val="18"/>
              </w:rPr>
              <w:t>Distributed workloads vs. one large GPU server — improved resiliency at relatively low cost</w:t>
            </w:r>
          </w:p>
        </w:tc>
      </w:tr>
    </w:tbl>
    <w:p w14:paraId="63C6FB9C" w14:textId="1AFBDB33" w:rsidR="009C7CAD" w:rsidRPr="009C7CAD" w:rsidRDefault="009C7CAD">
      <w:pPr>
        <w:pBdr>
          <w:bottom w:val="single" w:sz="6" w:space="4" w:color="C9A84C"/>
        </w:pBdr>
        <w:spacing w:before="260" w:after="100"/>
        <w:rPr>
          <w:rFonts w:ascii="Arial" w:eastAsia="Arial" w:hAnsi="Arial" w:cs="Arial"/>
          <w:color w:val="1B2A4A"/>
          <w:sz w:val="18"/>
          <w:szCs w:val="18"/>
        </w:rPr>
      </w:pPr>
      <w:r>
        <w:rPr>
          <w:rFonts w:ascii="Arial" w:eastAsia="Arial" w:hAnsi="Arial" w:cs="Arial"/>
          <w:b/>
          <w:bCs/>
          <w:color w:val="1B2A4A"/>
          <w:sz w:val="24"/>
          <w:szCs w:val="24"/>
        </w:rPr>
        <w:tab/>
      </w:r>
      <w:r>
        <w:rPr>
          <w:rFonts w:ascii="Arial" w:eastAsia="Arial" w:hAnsi="Arial" w:cs="Arial"/>
          <w:b/>
          <w:bCs/>
          <w:color w:val="1B2A4A"/>
          <w:sz w:val="24"/>
          <w:szCs w:val="24"/>
        </w:rPr>
        <w:tab/>
      </w:r>
      <w:r>
        <w:rPr>
          <w:rFonts w:ascii="Arial" w:eastAsia="Arial" w:hAnsi="Arial" w:cs="Arial"/>
          <w:b/>
          <w:bCs/>
          <w:color w:val="1B2A4A"/>
          <w:sz w:val="24"/>
          <w:szCs w:val="24"/>
        </w:rPr>
        <w:tab/>
      </w:r>
      <w:r w:rsidRPr="009C7CAD">
        <w:rPr>
          <w:rFonts w:ascii="Arial" w:eastAsia="Arial" w:hAnsi="Arial" w:cs="Arial"/>
          <w:color w:val="1B2A4A"/>
          <w:sz w:val="18"/>
          <w:szCs w:val="18"/>
        </w:rPr>
        <w:t>* Alternative infrastructure providers include Dell, HP, Lenovo</w:t>
      </w:r>
    </w:p>
    <w:p w14:paraId="03238686" w14:textId="0A511609" w:rsidR="00305285" w:rsidRDefault="00000000">
      <w:pPr>
        <w:pBdr>
          <w:bottom w:val="single" w:sz="6" w:space="4" w:color="C9A84C"/>
        </w:pBdr>
        <w:spacing w:before="260" w:after="100"/>
      </w:pPr>
      <w:r>
        <w:rPr>
          <w:rFonts w:ascii="Arial" w:eastAsia="Arial" w:hAnsi="Arial" w:cs="Arial"/>
          <w:b/>
          <w:bCs/>
          <w:color w:val="1B2A4A"/>
          <w:sz w:val="24"/>
          <w:szCs w:val="24"/>
        </w:rPr>
        <w:t>10. Revenue Model</w:t>
      </w:r>
    </w:p>
    <w:p w14:paraId="04EC7137" w14:textId="77777777" w:rsidR="00305285" w:rsidRDefault="00000000">
      <w:pPr>
        <w:spacing w:before="200" w:after="80"/>
      </w:pPr>
      <w:r>
        <w:rPr>
          <w:rFonts w:ascii="Arial" w:eastAsia="Arial" w:hAnsi="Arial" w:cs="Arial"/>
          <w:b/>
          <w:bCs/>
          <w:color w:val="1B2A4A"/>
          <w:sz w:val="21"/>
          <w:szCs w:val="21"/>
        </w:rPr>
        <w:t>Primary Revenue Streams</w:t>
      </w:r>
    </w:p>
    <w:p w14:paraId="7DBFF6BD" w14:textId="77777777" w:rsidR="00305285" w:rsidRDefault="00000000">
      <w:pPr>
        <w:pStyle w:val="ListParagraph"/>
        <w:numPr>
          <w:ilvl w:val="0"/>
          <w:numId w:val="2"/>
        </w:numPr>
        <w:spacing w:after="90" w:line="264" w:lineRule="auto"/>
      </w:pPr>
      <w:r>
        <w:rPr>
          <w:color w:val="222222"/>
        </w:rPr>
        <w:t>AI Transformation Engagements — process review, maturity assessment, architecture design, workflow deployment, and monthly retainers.</w:t>
      </w:r>
    </w:p>
    <w:p w14:paraId="4869A47D" w14:textId="77777777" w:rsidR="00305285" w:rsidRDefault="00000000">
      <w:pPr>
        <w:pStyle w:val="ListParagraph"/>
        <w:numPr>
          <w:ilvl w:val="0"/>
          <w:numId w:val="2"/>
        </w:numPr>
        <w:spacing w:after="90" w:line="264" w:lineRule="auto"/>
      </w:pPr>
      <w:r>
        <w:rPr>
          <w:color w:val="222222"/>
        </w:rPr>
        <w:t>MSP Channel Partnerships — white-label AI offerings, co-managed AI environments, recurring revenue splits.</w:t>
      </w:r>
    </w:p>
    <w:p w14:paraId="17D83970" w14:textId="77777777" w:rsidR="00305285" w:rsidRDefault="00000000">
      <w:pPr>
        <w:pStyle w:val="ListParagraph"/>
        <w:numPr>
          <w:ilvl w:val="0"/>
          <w:numId w:val="2"/>
        </w:numPr>
        <w:spacing w:after="90" w:line="264" w:lineRule="auto"/>
      </w:pPr>
      <w:r>
        <w:rPr>
          <w:color w:val="222222"/>
        </w:rPr>
        <w:t>Sovereign AI Licensing — industry-specific SLMs, compliance modules, knowledge-orchestration engines.</w:t>
      </w:r>
    </w:p>
    <w:p w14:paraId="5D2031FC" w14:textId="77777777" w:rsidR="00305285" w:rsidRDefault="00000000">
      <w:pPr>
        <w:spacing w:before="200" w:after="80"/>
      </w:pPr>
      <w:r>
        <w:rPr>
          <w:rFonts w:ascii="Arial" w:eastAsia="Arial" w:hAnsi="Arial" w:cs="Arial"/>
          <w:b/>
          <w:bCs/>
          <w:color w:val="1B2A4A"/>
          <w:sz w:val="21"/>
          <w:szCs w:val="21"/>
        </w:rPr>
        <w:lastRenderedPageBreak/>
        <w:t>Secondary Revenue Streams</w:t>
      </w:r>
    </w:p>
    <w:p w14:paraId="372A8882" w14:textId="77777777" w:rsidR="00305285" w:rsidRDefault="00000000">
      <w:pPr>
        <w:pStyle w:val="ListParagraph"/>
        <w:numPr>
          <w:ilvl w:val="0"/>
          <w:numId w:val="2"/>
        </w:numPr>
        <w:spacing w:after="90" w:line="264" w:lineRule="auto"/>
      </w:pPr>
      <w:r>
        <w:rPr>
          <w:color w:val="222222"/>
        </w:rPr>
        <w:t>Workshops, executive training, speaking engagements, and strategic intelligence reports.</w:t>
      </w:r>
    </w:p>
    <w:p w14:paraId="75C3B5A5" w14:textId="77777777" w:rsidR="00305285" w:rsidRDefault="00000000">
      <w:pPr>
        <w:pBdr>
          <w:bottom w:val="single" w:sz="6" w:space="4" w:color="C9A84C"/>
        </w:pBdr>
        <w:spacing w:before="260" w:after="100"/>
      </w:pPr>
      <w:r>
        <w:rPr>
          <w:rFonts w:ascii="Arial" w:eastAsia="Arial" w:hAnsi="Arial" w:cs="Arial"/>
          <w:b/>
          <w:bCs/>
          <w:color w:val="1B2A4A"/>
          <w:sz w:val="24"/>
          <w:szCs w:val="24"/>
        </w:rPr>
        <w:t>11. Go-to-Market Path</w:t>
      </w:r>
    </w:p>
    <w:p w14:paraId="701C73A6" w14:textId="6811CC45" w:rsidR="00305285" w:rsidRDefault="00000000">
      <w:pPr>
        <w:pStyle w:val="ListParagraph"/>
        <w:numPr>
          <w:ilvl w:val="0"/>
          <w:numId w:val="2"/>
        </w:numPr>
        <w:spacing w:after="90" w:line="264" w:lineRule="auto"/>
      </w:pPr>
      <w:r>
        <w:rPr>
          <w:color w:val="222222"/>
        </w:rPr>
        <w:t xml:space="preserve">Phase 1 — </w:t>
      </w:r>
      <w:r w:rsidR="005F38B2">
        <w:rPr>
          <w:color w:val="222222"/>
        </w:rPr>
        <w:t>Development - platform, methodology MVP</w:t>
      </w:r>
    </w:p>
    <w:p w14:paraId="0E8D9920" w14:textId="01ABFCC1" w:rsidR="00305285" w:rsidRDefault="00000000">
      <w:pPr>
        <w:pStyle w:val="ListParagraph"/>
        <w:numPr>
          <w:ilvl w:val="0"/>
          <w:numId w:val="2"/>
        </w:numPr>
        <w:spacing w:after="90" w:line="264" w:lineRule="auto"/>
      </w:pPr>
      <w:r>
        <w:rPr>
          <w:color w:val="222222"/>
        </w:rPr>
        <w:t xml:space="preserve">Phase 2 — </w:t>
      </w:r>
      <w:r w:rsidR="005F38B2">
        <w:rPr>
          <w:color w:val="222222"/>
        </w:rPr>
        <w:t>Establish Strategic Partnerships &amp; ecosystem alliances</w:t>
      </w:r>
    </w:p>
    <w:p w14:paraId="693810CD" w14:textId="62E9C1EC" w:rsidR="00305285" w:rsidRDefault="00000000">
      <w:pPr>
        <w:pStyle w:val="ListParagraph"/>
        <w:numPr>
          <w:ilvl w:val="0"/>
          <w:numId w:val="2"/>
        </w:numPr>
        <w:spacing w:after="90" w:line="264" w:lineRule="auto"/>
      </w:pPr>
      <w:r>
        <w:rPr>
          <w:color w:val="222222"/>
        </w:rPr>
        <w:t xml:space="preserve">Phase 3 — </w:t>
      </w:r>
      <w:r w:rsidR="005F38B2">
        <w:rPr>
          <w:color w:val="222222"/>
        </w:rPr>
        <w:t>Scale distribution and vertical targets to include</w:t>
      </w:r>
      <w:r>
        <w:rPr>
          <w:color w:val="222222"/>
        </w:rPr>
        <w:t xml:space="preserve"> finance, legal, </w:t>
      </w:r>
      <w:r w:rsidR="005F38B2">
        <w:rPr>
          <w:color w:val="222222"/>
        </w:rPr>
        <w:t>healthcare</w:t>
      </w:r>
    </w:p>
    <w:p w14:paraId="26E980CF" w14:textId="77777777" w:rsidR="00305285" w:rsidRDefault="00000000">
      <w:pPr>
        <w:pBdr>
          <w:bottom w:val="single" w:sz="6" w:space="4" w:color="C9A84C"/>
        </w:pBdr>
        <w:spacing w:before="260" w:after="100"/>
      </w:pPr>
      <w:r>
        <w:rPr>
          <w:rFonts w:ascii="Arial" w:eastAsia="Arial" w:hAnsi="Arial" w:cs="Arial"/>
          <w:b/>
          <w:bCs/>
          <w:color w:val="1B2A4A"/>
          <w:sz w:val="24"/>
          <w:szCs w:val="24"/>
        </w:rPr>
        <w:t>12. The Partnership Model</w:t>
      </w:r>
    </w:p>
    <w:p w14:paraId="66FF5419" w14:textId="77777777" w:rsidR="00305285" w:rsidRDefault="00000000">
      <w:pPr>
        <w:spacing w:after="140" w:line="276" w:lineRule="auto"/>
      </w:pPr>
      <w:r>
        <w:rPr>
          <w:color w:val="222222"/>
        </w:rPr>
        <w:t>Apex owns the IP; the partner owns the client relationship. Each side brings what the other doesn't have:</w:t>
      </w:r>
    </w:p>
    <w:tbl>
      <w:tblPr>
        <w:tblW w:w="9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08"/>
        <w:gridCol w:w="4608"/>
      </w:tblGrid>
      <w:tr w:rsidR="00305285" w14:paraId="47222944" w14:textId="77777777">
        <w:trPr>
          <w:tblHeader/>
        </w:trPr>
        <w:tc>
          <w:tcPr>
            <w:tcW w:w="4608" w:type="dxa"/>
            <w:shd w:val="clear" w:color="auto" w:fill="1B2A4A"/>
            <w:tcMar>
              <w:top w:w="100" w:type="dxa"/>
              <w:left w:w="120" w:type="dxa"/>
              <w:bottom w:w="100" w:type="dxa"/>
              <w:right w:w="120" w:type="dxa"/>
            </w:tcMar>
          </w:tcPr>
          <w:p w14:paraId="6C4A272F" w14:textId="77777777" w:rsidR="00305285" w:rsidRDefault="00000000">
            <w:r>
              <w:rPr>
                <w:rFonts w:ascii="Arial" w:eastAsia="Arial" w:hAnsi="Arial" w:cs="Arial"/>
                <w:b/>
                <w:bCs/>
                <w:color w:val="FFFFFF"/>
                <w:sz w:val="18"/>
                <w:szCs w:val="18"/>
              </w:rPr>
              <w:t>What Apex Brings</w:t>
            </w:r>
          </w:p>
        </w:tc>
        <w:tc>
          <w:tcPr>
            <w:tcW w:w="4608" w:type="dxa"/>
            <w:shd w:val="clear" w:color="auto" w:fill="1B2A4A"/>
            <w:tcMar>
              <w:top w:w="100" w:type="dxa"/>
              <w:left w:w="120" w:type="dxa"/>
              <w:bottom w:w="100" w:type="dxa"/>
              <w:right w:w="120" w:type="dxa"/>
            </w:tcMar>
          </w:tcPr>
          <w:p w14:paraId="73CE29B0" w14:textId="77777777" w:rsidR="00305285" w:rsidRDefault="00000000">
            <w:r>
              <w:rPr>
                <w:rFonts w:ascii="Arial" w:eastAsia="Arial" w:hAnsi="Arial" w:cs="Arial"/>
                <w:b/>
                <w:bCs/>
                <w:color w:val="FFFFFF"/>
                <w:sz w:val="18"/>
                <w:szCs w:val="18"/>
              </w:rPr>
              <w:t>What the Implementation Partner Brings</w:t>
            </w:r>
          </w:p>
        </w:tc>
      </w:tr>
      <w:tr w:rsidR="00305285" w14:paraId="4FEA93C4" w14:textId="77777777">
        <w:tc>
          <w:tcPr>
            <w:tcW w:w="4608" w:type="dxa"/>
            <w:shd w:val="clear" w:color="auto" w:fill="F5EFDD"/>
            <w:tcMar>
              <w:top w:w="100" w:type="dxa"/>
              <w:left w:w="120" w:type="dxa"/>
              <w:bottom w:w="100" w:type="dxa"/>
              <w:right w:w="120" w:type="dxa"/>
            </w:tcMar>
          </w:tcPr>
          <w:p w14:paraId="0495F7F0" w14:textId="77777777" w:rsidR="00305285" w:rsidRDefault="00000000">
            <w:r>
              <w:rPr>
                <w:color w:val="222222"/>
                <w:sz w:val="18"/>
                <w:szCs w:val="18"/>
              </w:rPr>
              <w:t>CDI™ methodology and IP</w:t>
            </w:r>
          </w:p>
        </w:tc>
        <w:tc>
          <w:tcPr>
            <w:tcW w:w="4608" w:type="dxa"/>
            <w:shd w:val="clear" w:color="auto" w:fill="EEF2F8"/>
            <w:tcMar>
              <w:top w:w="100" w:type="dxa"/>
              <w:left w:w="120" w:type="dxa"/>
              <w:bottom w:w="100" w:type="dxa"/>
              <w:right w:w="120" w:type="dxa"/>
            </w:tcMar>
          </w:tcPr>
          <w:p w14:paraId="08556AB0" w14:textId="77777777" w:rsidR="00305285" w:rsidRDefault="00000000">
            <w:r>
              <w:rPr>
                <w:color w:val="222222"/>
                <w:sz w:val="18"/>
                <w:szCs w:val="18"/>
              </w:rPr>
              <w:t>Existing client relationships and trust</w:t>
            </w:r>
          </w:p>
        </w:tc>
      </w:tr>
      <w:tr w:rsidR="00305285" w14:paraId="004C124A" w14:textId="77777777">
        <w:tc>
          <w:tcPr>
            <w:tcW w:w="4608" w:type="dxa"/>
            <w:shd w:val="clear" w:color="auto" w:fill="F5EFDD"/>
            <w:tcMar>
              <w:top w:w="100" w:type="dxa"/>
              <w:left w:w="120" w:type="dxa"/>
              <w:bottom w:w="100" w:type="dxa"/>
              <w:right w:w="120" w:type="dxa"/>
            </w:tcMar>
          </w:tcPr>
          <w:p w14:paraId="75339806" w14:textId="77777777" w:rsidR="00305285" w:rsidRDefault="00000000">
            <w:r>
              <w:rPr>
                <w:color w:val="222222"/>
                <w:sz w:val="18"/>
                <w:szCs w:val="18"/>
              </w:rPr>
              <w:t>Reference architecture and vertical frameworks (accounting, legal, healthcare, insurance)</w:t>
            </w:r>
          </w:p>
        </w:tc>
        <w:tc>
          <w:tcPr>
            <w:tcW w:w="4608" w:type="dxa"/>
            <w:shd w:val="clear" w:color="auto" w:fill="EEF2F8"/>
            <w:tcMar>
              <w:top w:w="100" w:type="dxa"/>
              <w:left w:w="120" w:type="dxa"/>
              <w:bottom w:w="100" w:type="dxa"/>
              <w:right w:w="120" w:type="dxa"/>
            </w:tcMar>
          </w:tcPr>
          <w:p w14:paraId="575C0581" w14:textId="77777777" w:rsidR="00305285" w:rsidRDefault="00000000">
            <w:r>
              <w:rPr>
                <w:color w:val="222222"/>
                <w:sz w:val="18"/>
                <w:szCs w:val="18"/>
              </w:rPr>
              <w:t>Deployment and local support capacity</w:t>
            </w:r>
          </w:p>
        </w:tc>
      </w:tr>
      <w:tr w:rsidR="00305285" w14:paraId="1AB79AC7" w14:textId="77777777">
        <w:tc>
          <w:tcPr>
            <w:tcW w:w="4608" w:type="dxa"/>
            <w:shd w:val="clear" w:color="auto" w:fill="F5EFDD"/>
            <w:tcMar>
              <w:top w:w="100" w:type="dxa"/>
              <w:left w:w="120" w:type="dxa"/>
              <w:bottom w:w="100" w:type="dxa"/>
              <w:right w:w="120" w:type="dxa"/>
            </w:tcMar>
          </w:tcPr>
          <w:p w14:paraId="01664DFE" w14:textId="77777777" w:rsidR="00305285" w:rsidRDefault="00000000">
            <w:r>
              <w:rPr>
                <w:color w:val="222222"/>
                <w:sz w:val="18"/>
                <w:szCs w:val="18"/>
              </w:rPr>
              <w:t>Governance and security models</w:t>
            </w:r>
          </w:p>
        </w:tc>
        <w:tc>
          <w:tcPr>
            <w:tcW w:w="4608" w:type="dxa"/>
            <w:shd w:val="clear" w:color="auto" w:fill="EEF2F8"/>
            <w:tcMar>
              <w:top w:w="100" w:type="dxa"/>
              <w:left w:w="120" w:type="dxa"/>
              <w:bottom w:w="100" w:type="dxa"/>
              <w:right w:w="120" w:type="dxa"/>
            </w:tcMar>
          </w:tcPr>
          <w:p w14:paraId="4CCACA16" w14:textId="77777777" w:rsidR="00305285" w:rsidRDefault="00000000">
            <w:r>
              <w:rPr>
                <w:color w:val="222222"/>
                <w:sz w:val="18"/>
                <w:szCs w:val="18"/>
              </w:rPr>
              <w:t>Market presence and go-to-market motion</w:t>
            </w:r>
          </w:p>
        </w:tc>
      </w:tr>
      <w:tr w:rsidR="00305285" w14:paraId="5091569F" w14:textId="77777777">
        <w:tc>
          <w:tcPr>
            <w:tcW w:w="4608" w:type="dxa"/>
            <w:shd w:val="clear" w:color="auto" w:fill="F5EFDD"/>
            <w:tcMar>
              <w:top w:w="100" w:type="dxa"/>
              <w:left w:w="120" w:type="dxa"/>
              <w:bottom w:w="100" w:type="dxa"/>
              <w:right w:w="120" w:type="dxa"/>
            </w:tcMar>
          </w:tcPr>
          <w:p w14:paraId="10B988DB" w14:textId="77777777" w:rsidR="00305285" w:rsidRDefault="00000000">
            <w:r>
              <w:rPr>
                <w:color w:val="222222"/>
                <w:sz w:val="18"/>
                <w:szCs w:val="18"/>
              </w:rPr>
              <w:t>ROI methodology and partner certification/training program</w:t>
            </w:r>
          </w:p>
        </w:tc>
        <w:tc>
          <w:tcPr>
            <w:tcW w:w="4608" w:type="dxa"/>
            <w:shd w:val="clear" w:color="auto" w:fill="EEF2F8"/>
            <w:tcMar>
              <w:top w:w="100" w:type="dxa"/>
              <w:left w:w="120" w:type="dxa"/>
              <w:bottom w:w="100" w:type="dxa"/>
              <w:right w:w="120" w:type="dxa"/>
            </w:tcMar>
          </w:tcPr>
          <w:p w14:paraId="38C3F4C1" w14:textId="77777777" w:rsidR="00305285" w:rsidRDefault="00000000">
            <w:r>
              <w:rPr>
                <w:color w:val="222222"/>
                <w:sz w:val="18"/>
                <w:szCs w:val="18"/>
              </w:rPr>
              <w:t>Ongoing account ownership and client success</w:t>
            </w:r>
          </w:p>
        </w:tc>
      </w:tr>
    </w:tbl>
    <w:p w14:paraId="72B4E8AD" w14:textId="77777777" w:rsidR="00305285" w:rsidRDefault="00000000">
      <w:pPr>
        <w:spacing w:after="140" w:line="276" w:lineRule="auto"/>
      </w:pPr>
      <w:r>
        <w:rPr>
          <w:color w:val="222222"/>
        </w:rPr>
        <w:t>Path to engagement follows the same five stages as the Enablement Framework:</w:t>
      </w:r>
    </w:p>
    <w:p w14:paraId="214F29AA" w14:textId="77777777" w:rsidR="00305285" w:rsidRDefault="00000000">
      <w:pPr>
        <w:pStyle w:val="ListParagraph"/>
        <w:numPr>
          <w:ilvl w:val="0"/>
          <w:numId w:val="2"/>
        </w:numPr>
        <w:spacing w:after="90" w:line="264" w:lineRule="auto"/>
      </w:pPr>
      <w:r>
        <w:rPr>
          <w:color w:val="222222"/>
        </w:rPr>
        <w:t>Discover a joint opportunity with a prospective partner and their client base.</w:t>
      </w:r>
    </w:p>
    <w:p w14:paraId="74FE1920" w14:textId="77777777" w:rsidR="00305285" w:rsidRDefault="00000000">
      <w:pPr>
        <w:pStyle w:val="ListParagraph"/>
        <w:numPr>
          <w:ilvl w:val="0"/>
          <w:numId w:val="2"/>
        </w:numPr>
        <w:spacing w:after="90" w:line="264" w:lineRule="auto"/>
      </w:pPr>
      <w:r>
        <w:rPr>
          <w:color w:val="222222"/>
        </w:rPr>
        <w:t>Architect a pilot around one vertical (e.g., accounting) and one deployment tier.</w:t>
      </w:r>
    </w:p>
    <w:p w14:paraId="5316CD92" w14:textId="61B3879B" w:rsidR="00305285" w:rsidRDefault="00000000">
      <w:pPr>
        <w:pStyle w:val="ListParagraph"/>
        <w:numPr>
          <w:ilvl w:val="0"/>
          <w:numId w:val="2"/>
        </w:numPr>
        <w:spacing w:after="90" w:line="264" w:lineRule="auto"/>
      </w:pPr>
      <w:r>
        <w:rPr>
          <w:color w:val="222222"/>
        </w:rPr>
        <w:t xml:space="preserve">Validate outcomes with a </w:t>
      </w:r>
      <w:r w:rsidR="005F38B2">
        <w:rPr>
          <w:color w:val="222222"/>
        </w:rPr>
        <w:t>design partner</w:t>
      </w:r>
      <w:r>
        <w:rPr>
          <w:color w:val="222222"/>
        </w:rPr>
        <w:t xml:space="preserve"> client, measured against agreed ROI criteria.</w:t>
      </w:r>
    </w:p>
    <w:p w14:paraId="2CD93813" w14:textId="77777777" w:rsidR="00305285" w:rsidRDefault="00000000">
      <w:pPr>
        <w:pStyle w:val="ListParagraph"/>
        <w:numPr>
          <w:ilvl w:val="0"/>
          <w:numId w:val="2"/>
        </w:numPr>
        <w:spacing w:after="90" w:line="264" w:lineRule="auto"/>
      </w:pPr>
      <w:r>
        <w:rPr>
          <w:color w:val="222222"/>
        </w:rPr>
        <w:t>Enable the partner's team through certification, training, and deployment guides.</w:t>
      </w:r>
    </w:p>
    <w:p w14:paraId="2449092B" w14:textId="77777777" w:rsidR="00305285" w:rsidRDefault="00000000">
      <w:pPr>
        <w:pStyle w:val="ListParagraph"/>
        <w:numPr>
          <w:ilvl w:val="0"/>
          <w:numId w:val="2"/>
        </w:numPr>
        <w:spacing w:after="90" w:line="264" w:lineRule="auto"/>
      </w:pPr>
      <w:r>
        <w:rPr>
          <w:color w:val="222222"/>
        </w:rPr>
        <w:t>Scale across the partner's broader client base and additional verticals.</w:t>
      </w:r>
    </w:p>
    <w:p w14:paraId="20F18F6A" w14:textId="77777777" w:rsidR="00305285" w:rsidRDefault="00000000">
      <w:pPr>
        <w:pBdr>
          <w:bottom w:val="single" w:sz="6" w:space="4" w:color="C9A84C"/>
        </w:pBdr>
        <w:spacing w:before="260" w:after="100"/>
      </w:pPr>
      <w:r>
        <w:rPr>
          <w:rFonts w:ascii="Arial" w:eastAsia="Arial" w:hAnsi="Arial" w:cs="Arial"/>
          <w:b/>
          <w:bCs/>
          <w:color w:val="1B2A4A"/>
          <w:sz w:val="24"/>
          <w:szCs w:val="24"/>
        </w:rPr>
        <w:t>13. Conclusion: The IP Layer Beneath Sovereign AI</w:t>
      </w:r>
    </w:p>
    <w:p w14:paraId="6E179259" w14:textId="4CABBC21" w:rsidR="00305285" w:rsidRDefault="00000000">
      <w:pPr>
        <w:spacing w:after="140" w:line="276" w:lineRule="auto"/>
      </w:pPr>
      <w:r>
        <w:rPr>
          <w:color w:val="222222"/>
        </w:rPr>
        <w:t>The AI market is segmenting the same way computing did before it, and the winners will not be the firms that out-build hyperscalers or out-consult the majors. They will be the firms that own the methodology, architecture, and governance underneath a category — and let the partners who already hold the client relationship carry it to market. That is the position Apex Strategic Intelligence is built to hold: the intellectual property layer beneath sovereign AI, architect once and delivered everywhere through the MSPs, cloud providers, and systems integrators who already have the trust of the SMB economy.</w:t>
      </w:r>
    </w:p>
    <w:p w14:paraId="19564D0E" w14:textId="77777777" w:rsidR="00305285" w:rsidRDefault="00000000">
      <w:pPr>
        <w:spacing w:after="140" w:line="276" w:lineRule="auto"/>
      </w:pPr>
      <w:r>
        <w:rPr>
          <w:color w:val="222222"/>
        </w:rPr>
        <w:t>For a prospective ecosystem or implementation partner, the next step is straightforward: a Discover conversation to identify a joint opportunity, followed by a scoped pilot in one vertical and one deployment tier. Reach out directly to begin that conversation.</w:t>
      </w:r>
    </w:p>
    <w:p w14:paraId="1ED6DB25" w14:textId="77777777" w:rsidR="00305285" w:rsidRDefault="00000000">
      <w:pPr>
        <w:pBdr>
          <w:top w:val="single" w:sz="6" w:space="8" w:color="C9A84C"/>
        </w:pBdr>
        <w:spacing w:before="200"/>
      </w:pPr>
      <w:r>
        <w:rPr>
          <w:rFonts w:ascii="Arial" w:eastAsia="Arial" w:hAnsi="Arial" w:cs="Arial"/>
          <w:b/>
          <w:bCs/>
          <w:color w:val="1B2A4A"/>
          <w:sz w:val="19"/>
          <w:szCs w:val="19"/>
        </w:rPr>
        <w:t>Michael A. McDonnell — Founder, Apex Strategic Intelligence</w:t>
      </w:r>
    </w:p>
    <w:p w14:paraId="33A1D1BD" w14:textId="77777777" w:rsidR="00305285" w:rsidRDefault="00000000">
      <w:pPr>
        <w:spacing w:after="20"/>
      </w:pPr>
      <w:r>
        <w:rPr>
          <w:rFonts w:ascii="Arial" w:eastAsia="Arial" w:hAnsi="Arial" w:cs="Arial"/>
          <w:color w:val="2E5FA3"/>
          <w:sz w:val="17"/>
          <w:szCs w:val="17"/>
        </w:rPr>
        <w:t>Prosper, Texas   ·   214-663-6222   ·   mamcdonnell@verizon.net   ·   michael@apexstrategicintelligence.io</w:t>
      </w:r>
    </w:p>
    <w:sectPr w:rsidR="00305285">
      <w:footerReference w:type="default" r:id="rId7"/>
      <w:pgSz w:w="12240" w:h="15840"/>
      <w:pgMar w:top="1000" w:right="1080" w:bottom="90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4449A" w14:textId="77777777" w:rsidR="00DD4F5F" w:rsidRDefault="00DD4F5F">
      <w:r>
        <w:separator/>
      </w:r>
    </w:p>
  </w:endnote>
  <w:endnote w:type="continuationSeparator" w:id="0">
    <w:p w14:paraId="2E454A67" w14:textId="77777777" w:rsidR="00DD4F5F" w:rsidRDefault="00DD4F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A63E8" w14:textId="77777777" w:rsidR="00305285" w:rsidRDefault="00000000">
    <w:pPr>
      <w:pBdr>
        <w:top w:val="single" w:sz="4" w:space="4" w:color="CCCCCC"/>
      </w:pBdr>
      <w:tabs>
        <w:tab w:val="right" w:pos="9026"/>
      </w:tabs>
    </w:pPr>
    <w:r>
      <w:rPr>
        <w:rFonts w:ascii="Arial" w:eastAsia="Arial" w:hAnsi="Arial" w:cs="Arial"/>
        <w:color w:val="6B7280"/>
        <w:sz w:val="14"/>
        <w:szCs w:val="14"/>
      </w:rPr>
      <w:t>Apex Strategic Intelligence — Composable Distillation Intelligence White Paper</w:t>
    </w:r>
    <w:r>
      <w:rPr>
        <w:sz w:val="14"/>
        <w:szCs w:val="14"/>
      </w:rPr>
      <w:tab/>
    </w:r>
    <w:r>
      <w:rPr>
        <w:rFonts w:ascii="Arial" w:eastAsia="Arial" w:hAnsi="Arial" w:cs="Arial"/>
        <w:color w:val="6B7280"/>
        <w:sz w:val="14"/>
        <w:szCs w:val="14"/>
      </w:rPr>
      <w:t xml:space="preserve">Page </w:t>
    </w:r>
    <w:r>
      <w:rPr>
        <w:rFonts w:ascii="Arial" w:eastAsia="Arial" w:hAnsi="Arial" w:cs="Arial"/>
        <w:color w:val="6B7280"/>
        <w:sz w:val="14"/>
        <w:szCs w:val="14"/>
      </w:rPr>
      <w:fldChar w:fldCharType="begin"/>
    </w:r>
    <w:r>
      <w:rPr>
        <w:rFonts w:ascii="Arial" w:eastAsia="Arial" w:hAnsi="Arial" w:cs="Arial"/>
        <w:color w:val="6B7280"/>
        <w:sz w:val="14"/>
        <w:szCs w:val="14"/>
      </w:rPr>
      <w:instrText>PAGE</w:instrText>
    </w:r>
    <w:r>
      <w:rPr>
        <w:rFonts w:ascii="Arial" w:eastAsia="Arial" w:hAnsi="Arial" w:cs="Arial"/>
        <w:color w:val="6B7280"/>
        <w:sz w:val="14"/>
        <w:szCs w:val="14"/>
      </w:rPr>
      <w:fldChar w:fldCharType="separate"/>
    </w:r>
    <w:r w:rsidR="009C7CAD">
      <w:rPr>
        <w:rFonts w:ascii="Arial" w:eastAsia="Arial" w:hAnsi="Arial" w:cs="Arial"/>
        <w:noProof/>
        <w:color w:val="6B7280"/>
        <w:sz w:val="14"/>
        <w:szCs w:val="14"/>
      </w:rPr>
      <w:t>1</w:t>
    </w:r>
    <w:r>
      <w:rPr>
        <w:rFonts w:ascii="Arial" w:eastAsia="Arial" w:hAnsi="Arial" w:cs="Arial"/>
        <w:color w:val="6B7280"/>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E6AD9" w14:textId="77777777" w:rsidR="00DD4F5F" w:rsidRDefault="00DD4F5F">
      <w:r>
        <w:separator/>
      </w:r>
    </w:p>
  </w:footnote>
  <w:footnote w:type="continuationSeparator" w:id="0">
    <w:p w14:paraId="609348F8" w14:textId="77777777" w:rsidR="00DD4F5F" w:rsidRDefault="00DD4F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5D1FEB"/>
    <w:multiLevelType w:val="hybridMultilevel"/>
    <w:tmpl w:val="3E5A609E"/>
    <w:lvl w:ilvl="0" w:tplc="1C3CB3CA">
      <w:start w:val="1"/>
      <w:numFmt w:val="bullet"/>
      <w:lvlText w:val="•"/>
      <w:lvlJc w:val="left"/>
      <w:pPr>
        <w:ind w:left="403" w:hanging="259"/>
      </w:pPr>
    </w:lvl>
    <w:lvl w:ilvl="1" w:tplc="C54A2A7E">
      <w:numFmt w:val="decimal"/>
      <w:lvlText w:val=""/>
      <w:lvlJc w:val="left"/>
    </w:lvl>
    <w:lvl w:ilvl="2" w:tplc="8C2E51A6">
      <w:numFmt w:val="decimal"/>
      <w:lvlText w:val=""/>
      <w:lvlJc w:val="left"/>
    </w:lvl>
    <w:lvl w:ilvl="3" w:tplc="A0FC609A">
      <w:numFmt w:val="decimal"/>
      <w:lvlText w:val=""/>
      <w:lvlJc w:val="left"/>
    </w:lvl>
    <w:lvl w:ilvl="4" w:tplc="5BCACDF0">
      <w:numFmt w:val="decimal"/>
      <w:lvlText w:val=""/>
      <w:lvlJc w:val="left"/>
    </w:lvl>
    <w:lvl w:ilvl="5" w:tplc="276A9730">
      <w:numFmt w:val="decimal"/>
      <w:lvlText w:val=""/>
      <w:lvlJc w:val="left"/>
    </w:lvl>
    <w:lvl w:ilvl="6" w:tplc="A10E2576">
      <w:numFmt w:val="decimal"/>
      <w:lvlText w:val=""/>
      <w:lvlJc w:val="left"/>
    </w:lvl>
    <w:lvl w:ilvl="7" w:tplc="A3B2699C">
      <w:numFmt w:val="decimal"/>
      <w:lvlText w:val=""/>
      <w:lvlJc w:val="left"/>
    </w:lvl>
    <w:lvl w:ilvl="8" w:tplc="132CF642">
      <w:numFmt w:val="decimal"/>
      <w:lvlText w:val=""/>
      <w:lvlJc w:val="left"/>
    </w:lvl>
  </w:abstractNum>
  <w:abstractNum w:abstractNumId="1" w15:restartNumberingAfterBreak="0">
    <w:nsid w:val="7BD03397"/>
    <w:multiLevelType w:val="hybridMultilevel"/>
    <w:tmpl w:val="A2089EB8"/>
    <w:lvl w:ilvl="0" w:tplc="6F2C4DE2">
      <w:start w:val="1"/>
      <w:numFmt w:val="bullet"/>
      <w:lvlText w:val="●"/>
      <w:lvlJc w:val="left"/>
      <w:pPr>
        <w:ind w:left="720" w:hanging="360"/>
      </w:pPr>
    </w:lvl>
    <w:lvl w:ilvl="1" w:tplc="69127272">
      <w:start w:val="1"/>
      <w:numFmt w:val="bullet"/>
      <w:lvlText w:val="○"/>
      <w:lvlJc w:val="left"/>
      <w:pPr>
        <w:ind w:left="1440" w:hanging="360"/>
      </w:pPr>
    </w:lvl>
    <w:lvl w:ilvl="2" w:tplc="0B2610A2">
      <w:start w:val="1"/>
      <w:numFmt w:val="bullet"/>
      <w:lvlText w:val="■"/>
      <w:lvlJc w:val="left"/>
      <w:pPr>
        <w:ind w:left="2160" w:hanging="360"/>
      </w:pPr>
    </w:lvl>
    <w:lvl w:ilvl="3" w:tplc="76565874">
      <w:start w:val="1"/>
      <w:numFmt w:val="bullet"/>
      <w:lvlText w:val="●"/>
      <w:lvlJc w:val="left"/>
      <w:pPr>
        <w:ind w:left="2880" w:hanging="360"/>
      </w:pPr>
    </w:lvl>
    <w:lvl w:ilvl="4" w:tplc="E32CB830">
      <w:start w:val="1"/>
      <w:numFmt w:val="bullet"/>
      <w:lvlText w:val="○"/>
      <w:lvlJc w:val="left"/>
      <w:pPr>
        <w:ind w:left="3600" w:hanging="360"/>
      </w:pPr>
    </w:lvl>
    <w:lvl w:ilvl="5" w:tplc="B8FE8B18">
      <w:start w:val="1"/>
      <w:numFmt w:val="bullet"/>
      <w:lvlText w:val="■"/>
      <w:lvlJc w:val="left"/>
      <w:pPr>
        <w:ind w:left="4320" w:hanging="360"/>
      </w:pPr>
    </w:lvl>
    <w:lvl w:ilvl="6" w:tplc="B4EA1BB6">
      <w:start w:val="1"/>
      <w:numFmt w:val="bullet"/>
      <w:lvlText w:val="●"/>
      <w:lvlJc w:val="left"/>
      <w:pPr>
        <w:ind w:left="5040" w:hanging="360"/>
      </w:pPr>
    </w:lvl>
    <w:lvl w:ilvl="7" w:tplc="9F446938">
      <w:start w:val="1"/>
      <w:numFmt w:val="bullet"/>
      <w:lvlText w:val="●"/>
      <w:lvlJc w:val="left"/>
      <w:pPr>
        <w:ind w:left="5760" w:hanging="360"/>
      </w:pPr>
    </w:lvl>
    <w:lvl w:ilvl="8" w:tplc="06B0FC20">
      <w:start w:val="1"/>
      <w:numFmt w:val="bullet"/>
      <w:lvlText w:val="●"/>
      <w:lvlJc w:val="left"/>
      <w:pPr>
        <w:ind w:left="6480" w:hanging="360"/>
      </w:pPr>
    </w:lvl>
  </w:abstractNum>
  <w:num w:numId="1" w16cid:durableId="720979860">
    <w:abstractNumId w:val="1"/>
    <w:lvlOverride w:ilvl="0">
      <w:startOverride w:val="1"/>
    </w:lvlOverride>
  </w:num>
  <w:num w:numId="2" w16cid:durableId="105974970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285"/>
    <w:rsid w:val="00305285"/>
    <w:rsid w:val="0057536B"/>
    <w:rsid w:val="005F38B2"/>
    <w:rsid w:val="00607128"/>
    <w:rsid w:val="007327F6"/>
    <w:rsid w:val="007F7054"/>
    <w:rsid w:val="009C7CAD"/>
    <w:rsid w:val="00DD4F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F832"/>
  <w15:docId w15:val="{FF13F0D8-8B86-460C-8DF3-14A22CC3E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2121</Words>
  <Characters>12090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Michael McDonnell</cp:lastModifiedBy>
  <cp:revision>4</cp:revision>
  <dcterms:created xsi:type="dcterms:W3CDTF">2026-07-29T15:47:00Z</dcterms:created>
  <dcterms:modified xsi:type="dcterms:W3CDTF">2026-09-10T19:24:00Z</dcterms:modified>
</cp:coreProperties>
</file>